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b/>
          <w:bCs/>
          <w:sz w:val="36"/>
          <w:szCs w:val="36"/>
        </w:rPr>
      </w:pPr>
      <w:r>
        <w:rPr>
          <w:rFonts w:hint="eastAsia" w:ascii="宋体" w:hAnsi="宋体" w:eastAsia="宋体"/>
          <w:b/>
          <w:bCs/>
          <w:sz w:val="36"/>
          <w:szCs w:val="36"/>
        </w:rPr>
        <w:t>晋江华侨职业中专学校</w:t>
      </w:r>
    </w:p>
    <w:p>
      <w:pPr>
        <w:spacing w:line="276" w:lineRule="auto"/>
        <w:jc w:val="center"/>
        <w:rPr>
          <w:rFonts w:ascii="宋体" w:hAnsi="宋体" w:eastAsia="宋体"/>
          <w:b/>
          <w:bCs/>
          <w:sz w:val="36"/>
          <w:szCs w:val="36"/>
        </w:rPr>
      </w:pPr>
      <w:r>
        <w:rPr>
          <w:rFonts w:hint="eastAsia" w:ascii="宋体" w:hAnsi="宋体" w:eastAsia="宋体"/>
          <w:b/>
          <w:bCs/>
          <w:sz w:val="36"/>
          <w:szCs w:val="36"/>
          <w:lang w:eastAsia="zh-CN"/>
        </w:rPr>
        <w:t>智慧</w:t>
      </w:r>
      <w:r>
        <w:rPr>
          <w:rFonts w:hint="eastAsia" w:ascii="宋体" w:hAnsi="宋体" w:eastAsia="宋体"/>
          <w:b/>
          <w:bCs/>
          <w:sz w:val="36"/>
          <w:szCs w:val="36"/>
        </w:rPr>
        <w:t>党建展厅基础改造建设服务项目询价函</w:t>
      </w:r>
    </w:p>
    <w:p>
      <w:pPr>
        <w:spacing w:line="276" w:lineRule="auto"/>
        <w:jc w:val="left"/>
        <w:rPr>
          <w:rFonts w:ascii="宋体" w:hAnsi="宋体" w:eastAsia="宋体"/>
          <w:sz w:val="28"/>
          <w:szCs w:val="24"/>
        </w:rPr>
      </w:pPr>
      <w:r>
        <w:rPr>
          <w:rFonts w:hint="eastAsia" w:ascii="宋体" w:hAnsi="宋体" w:eastAsia="宋体"/>
          <w:sz w:val="28"/>
          <w:szCs w:val="24"/>
        </w:rPr>
        <w:t>各受邀报价单位：</w:t>
      </w:r>
      <w:r>
        <w:rPr>
          <w:rFonts w:ascii="宋体" w:hAnsi="宋体" w:eastAsia="宋体"/>
          <w:sz w:val="28"/>
          <w:szCs w:val="24"/>
        </w:rPr>
        <w:t xml:space="preserve">  </w:t>
      </w:r>
    </w:p>
    <w:p>
      <w:pPr>
        <w:spacing w:line="276" w:lineRule="auto"/>
        <w:ind w:firstLine="560" w:firstLineChars="200"/>
        <w:jc w:val="left"/>
        <w:rPr>
          <w:rFonts w:hint="eastAsia" w:ascii="宋体" w:hAnsi="宋体" w:eastAsia="宋体"/>
          <w:sz w:val="28"/>
          <w:szCs w:val="24"/>
        </w:rPr>
      </w:pPr>
      <w:r>
        <w:rPr>
          <w:rFonts w:hint="eastAsia" w:ascii="宋体" w:hAnsi="宋体" w:eastAsia="宋体"/>
          <w:sz w:val="28"/>
          <w:szCs w:val="24"/>
        </w:rPr>
        <w:t>我校现就“</w:t>
      </w:r>
      <w:r>
        <w:rPr>
          <w:rFonts w:hint="eastAsia" w:ascii="宋体" w:hAnsi="宋体" w:eastAsia="宋体"/>
          <w:sz w:val="28"/>
          <w:szCs w:val="24"/>
          <w:lang w:eastAsia="zh-CN"/>
        </w:rPr>
        <w:t>智慧</w:t>
      </w:r>
      <w:r>
        <w:rPr>
          <w:rFonts w:hint="eastAsia" w:ascii="宋体" w:hAnsi="宋体" w:eastAsia="宋体"/>
          <w:sz w:val="28"/>
          <w:szCs w:val="24"/>
        </w:rPr>
        <w:t>党建展厅基础改造建设服务项目”进行</w:t>
      </w:r>
      <w:r>
        <w:rPr>
          <w:rFonts w:ascii="宋体" w:hAnsi="宋体" w:eastAsia="宋体"/>
          <w:sz w:val="28"/>
          <w:szCs w:val="24"/>
        </w:rPr>
        <w:t>采购</w:t>
      </w:r>
      <w:r>
        <w:rPr>
          <w:rFonts w:hint="eastAsia" w:ascii="宋体" w:hAnsi="宋体" w:eastAsia="宋体"/>
          <w:sz w:val="28"/>
          <w:szCs w:val="24"/>
        </w:rPr>
        <w:t>询价</w:t>
      </w:r>
      <w:r>
        <w:rPr>
          <w:rFonts w:ascii="宋体" w:hAnsi="宋体" w:eastAsia="宋体"/>
          <w:sz w:val="28"/>
          <w:szCs w:val="24"/>
        </w:rPr>
        <w:t>，请按以下</w:t>
      </w:r>
      <w:r>
        <w:rPr>
          <w:rFonts w:hint="eastAsia" w:ascii="宋体" w:hAnsi="宋体" w:eastAsia="宋体"/>
          <w:sz w:val="28"/>
          <w:szCs w:val="24"/>
        </w:rPr>
        <w:t>采购</w:t>
      </w:r>
      <w:r>
        <w:rPr>
          <w:rFonts w:ascii="宋体" w:hAnsi="宋体" w:eastAsia="宋体"/>
          <w:sz w:val="28"/>
          <w:szCs w:val="24"/>
        </w:rPr>
        <w:t>要求于</w:t>
      </w:r>
      <w:r>
        <w:rPr>
          <w:rFonts w:hint="eastAsia" w:ascii="宋体" w:hAnsi="宋体" w:eastAsia="宋体"/>
          <w:sz w:val="28"/>
          <w:szCs w:val="24"/>
        </w:rPr>
        <w:t>2020年</w:t>
      </w:r>
      <w:r>
        <w:rPr>
          <w:rFonts w:hint="eastAsia" w:ascii="宋体" w:hAnsi="宋体" w:eastAsia="宋体"/>
          <w:sz w:val="28"/>
          <w:szCs w:val="24"/>
          <w:lang w:val="en-US" w:eastAsia="zh-CN"/>
        </w:rPr>
        <w:t>10</w:t>
      </w:r>
      <w:r>
        <w:rPr>
          <w:rFonts w:hint="eastAsia" w:ascii="宋体" w:hAnsi="宋体" w:eastAsia="宋体"/>
          <w:sz w:val="28"/>
          <w:szCs w:val="24"/>
        </w:rPr>
        <w:t>月</w:t>
      </w:r>
      <w:r>
        <w:rPr>
          <w:rFonts w:hint="eastAsia" w:ascii="宋体" w:hAnsi="宋体" w:eastAsia="宋体"/>
          <w:sz w:val="28"/>
          <w:szCs w:val="24"/>
          <w:lang w:val="en-US" w:eastAsia="zh-CN"/>
        </w:rPr>
        <w:t>19</w:t>
      </w:r>
      <w:r>
        <w:rPr>
          <w:rFonts w:hint="eastAsia" w:ascii="宋体" w:hAnsi="宋体" w:eastAsia="宋体"/>
          <w:sz w:val="28"/>
          <w:szCs w:val="24"/>
        </w:rPr>
        <w:t>日（星期</w:t>
      </w:r>
      <w:r>
        <w:rPr>
          <w:rFonts w:hint="eastAsia" w:ascii="宋体" w:hAnsi="宋体" w:eastAsia="宋体"/>
          <w:sz w:val="28"/>
          <w:szCs w:val="24"/>
          <w:lang w:eastAsia="zh-CN"/>
        </w:rPr>
        <w:t>一</w:t>
      </w:r>
      <w:r>
        <w:rPr>
          <w:rFonts w:hint="eastAsia" w:ascii="宋体" w:hAnsi="宋体" w:eastAsia="宋体"/>
          <w:sz w:val="28"/>
          <w:szCs w:val="24"/>
        </w:rPr>
        <w:t>）</w:t>
      </w:r>
      <w:r>
        <w:rPr>
          <w:rFonts w:hint="eastAsia" w:ascii="宋体" w:hAnsi="宋体" w:eastAsia="宋体"/>
          <w:sz w:val="28"/>
          <w:szCs w:val="24"/>
          <w:lang w:eastAsia="zh-CN"/>
        </w:rPr>
        <w:t>上</w:t>
      </w:r>
      <w:r>
        <w:rPr>
          <w:rFonts w:hint="eastAsia" w:ascii="宋体" w:hAnsi="宋体" w:eastAsia="宋体"/>
          <w:sz w:val="28"/>
          <w:szCs w:val="24"/>
        </w:rPr>
        <w:t>午</w:t>
      </w:r>
      <w:r>
        <w:rPr>
          <w:rFonts w:hint="eastAsia" w:ascii="宋体" w:hAnsi="宋体" w:eastAsia="宋体"/>
          <w:sz w:val="28"/>
          <w:szCs w:val="24"/>
          <w:lang w:val="en-US" w:eastAsia="zh-CN"/>
        </w:rPr>
        <w:t>9</w:t>
      </w:r>
      <w:r>
        <w:rPr>
          <w:rFonts w:hint="eastAsia" w:ascii="宋体" w:hAnsi="宋体" w:eastAsia="宋体"/>
          <w:sz w:val="28"/>
          <w:szCs w:val="24"/>
        </w:rPr>
        <w:t>：</w:t>
      </w:r>
      <w:r>
        <w:rPr>
          <w:rFonts w:hint="eastAsia" w:ascii="宋体" w:hAnsi="宋体" w:eastAsia="宋体"/>
          <w:sz w:val="28"/>
          <w:szCs w:val="24"/>
          <w:lang w:val="en-US" w:eastAsia="zh-CN"/>
        </w:rPr>
        <w:t>3</w:t>
      </w:r>
      <w:r>
        <w:rPr>
          <w:rFonts w:hint="eastAsia" w:ascii="宋体" w:hAnsi="宋体" w:eastAsia="宋体"/>
          <w:sz w:val="28"/>
          <w:szCs w:val="24"/>
        </w:rPr>
        <w:t>0前将报价文件送至我</w:t>
      </w:r>
      <w:r>
        <w:rPr>
          <w:rFonts w:hint="eastAsia" w:ascii="宋体" w:hAnsi="宋体" w:eastAsia="宋体"/>
          <w:sz w:val="28"/>
          <w:szCs w:val="24"/>
        </w:rPr>
        <w:t>校</w:t>
      </w:r>
      <w:r>
        <w:rPr>
          <w:rFonts w:hint="eastAsia" w:ascii="宋体" w:hAnsi="宋体" w:eastAsia="宋体"/>
          <w:sz w:val="28"/>
          <w:szCs w:val="24"/>
          <w:lang w:eastAsia="zh-CN"/>
        </w:rPr>
        <w:t>副书记室，</w:t>
      </w:r>
      <w:r>
        <w:rPr>
          <w:rFonts w:hint="eastAsia" w:ascii="宋体" w:hAnsi="宋体" w:eastAsia="宋体"/>
          <w:sz w:val="28"/>
          <w:szCs w:val="24"/>
        </w:rPr>
        <w:t>联系人</w:t>
      </w:r>
      <w:r>
        <w:rPr>
          <w:rFonts w:hint="eastAsia" w:ascii="宋体" w:hAnsi="宋体" w:eastAsia="宋体"/>
          <w:sz w:val="28"/>
          <w:szCs w:val="24"/>
          <w:lang w:eastAsia="zh-CN"/>
        </w:rPr>
        <w:t>：林云忠</w:t>
      </w:r>
      <w:r>
        <w:rPr>
          <w:rFonts w:hint="eastAsia" w:ascii="宋体" w:hAnsi="宋体" w:eastAsia="宋体"/>
          <w:sz w:val="28"/>
          <w:szCs w:val="24"/>
        </w:rPr>
        <w:t>老师，联系方式</w:t>
      </w:r>
      <w:r>
        <w:rPr>
          <w:rFonts w:hint="eastAsia" w:ascii="宋体" w:hAnsi="宋体" w:eastAsia="宋体"/>
          <w:sz w:val="28"/>
          <w:szCs w:val="24"/>
          <w:lang w:eastAsia="zh-CN"/>
        </w:rPr>
        <w:t>：</w:t>
      </w:r>
      <w:r>
        <w:rPr>
          <w:rFonts w:hint="eastAsia" w:ascii="宋体" w:hAnsi="宋体" w:eastAsia="宋体"/>
          <w:sz w:val="28"/>
          <w:szCs w:val="24"/>
          <w:lang w:val="en-US" w:eastAsia="zh-CN"/>
        </w:rPr>
        <w:t>82001518</w:t>
      </w:r>
      <w:r>
        <w:rPr>
          <w:rFonts w:hint="eastAsia" w:ascii="宋体" w:hAnsi="宋体" w:eastAsia="宋体"/>
          <w:sz w:val="28"/>
          <w:szCs w:val="24"/>
        </w:rPr>
        <w:t>。</w:t>
      </w: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一、 </w:t>
      </w:r>
      <w:r>
        <w:rPr>
          <w:rFonts w:hint="eastAsia" w:ascii="宋体" w:hAnsi="宋体" w:eastAsia="宋体"/>
          <w:b/>
          <w:bCs/>
          <w:sz w:val="24"/>
          <w:szCs w:val="24"/>
        </w:rPr>
        <w:t xml:space="preserve">采购清单 </w:t>
      </w: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rPr>
        <w:t>整体报价</w:t>
      </w:r>
    </w:p>
    <w:tbl>
      <w:tblPr>
        <w:tblStyle w:val="4"/>
        <w:tblW w:w="8914" w:type="dxa"/>
        <w:jc w:val="center"/>
        <w:tblLayout w:type="fixed"/>
        <w:tblCellMar>
          <w:top w:w="0" w:type="dxa"/>
          <w:left w:w="108" w:type="dxa"/>
          <w:bottom w:w="0" w:type="dxa"/>
          <w:right w:w="108" w:type="dxa"/>
        </w:tblCellMar>
      </w:tblPr>
      <w:tblGrid>
        <w:gridCol w:w="1276"/>
        <w:gridCol w:w="4531"/>
        <w:gridCol w:w="1406"/>
        <w:gridCol w:w="1701"/>
      </w:tblGrid>
      <w:tr>
        <w:tblPrEx>
          <w:tblCellMar>
            <w:top w:w="0" w:type="dxa"/>
            <w:left w:w="108" w:type="dxa"/>
            <w:bottom w:w="0" w:type="dxa"/>
            <w:right w:w="108" w:type="dxa"/>
          </w:tblCellMar>
        </w:tblPrEx>
        <w:trPr>
          <w:trHeight w:val="575"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4531" w:type="dxa"/>
            <w:tcBorders>
              <w:top w:val="single" w:color="auto" w:sz="4" w:space="0"/>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项目名称</w:t>
            </w:r>
          </w:p>
        </w:tc>
        <w:tc>
          <w:tcPr>
            <w:tcW w:w="1406" w:type="dxa"/>
            <w:tcBorders>
              <w:top w:val="single" w:color="auto" w:sz="4" w:space="0"/>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数量</w:t>
            </w:r>
          </w:p>
        </w:tc>
        <w:tc>
          <w:tcPr>
            <w:tcW w:w="1701" w:type="dxa"/>
            <w:tcBorders>
              <w:top w:val="single" w:color="auto" w:sz="4" w:space="0"/>
              <w:left w:val="nil"/>
              <w:bottom w:val="single" w:color="auto" w:sz="4" w:space="0"/>
              <w:right w:val="single" w:color="auto" w:sz="4" w:space="0"/>
            </w:tcBorders>
            <w:vAlign w:val="center"/>
          </w:tcPr>
          <w:p>
            <w:pPr>
              <w:widowControl/>
              <w:spacing w:line="276" w:lineRule="auto"/>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单位</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拆除部分</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基础改造部分</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油漆涂料部分</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34"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电路改造及主材、灯具、开关面板部分</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其他部分</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工程管理费</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设计费</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r>
        <w:tblPrEx>
          <w:tblCellMar>
            <w:top w:w="0" w:type="dxa"/>
            <w:left w:w="108" w:type="dxa"/>
            <w:bottom w:w="0" w:type="dxa"/>
            <w:right w:w="108" w:type="dxa"/>
          </w:tblCellMar>
        </w:tblPrEx>
        <w:trPr>
          <w:trHeight w:val="575"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4531" w:type="dxa"/>
            <w:tcBorders>
              <w:top w:val="nil"/>
              <w:left w:val="nil"/>
              <w:bottom w:val="single" w:color="auto" w:sz="4" w:space="0"/>
              <w:right w:val="single" w:color="auto" w:sz="4" w:space="0"/>
            </w:tcBorders>
            <w:shd w:val="clear" w:color="auto" w:fill="auto"/>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税金</w:t>
            </w:r>
          </w:p>
        </w:tc>
        <w:tc>
          <w:tcPr>
            <w:tcW w:w="1406" w:type="dxa"/>
            <w:tcBorders>
              <w:top w:val="nil"/>
              <w:left w:val="nil"/>
              <w:bottom w:val="single" w:color="auto" w:sz="4" w:space="0"/>
              <w:right w:val="single" w:color="auto" w:sz="4" w:space="0"/>
            </w:tcBorders>
            <w:shd w:val="clear" w:color="auto" w:fill="auto"/>
            <w:noWrap/>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1.00 </w:t>
            </w:r>
          </w:p>
        </w:tc>
        <w:tc>
          <w:tcPr>
            <w:tcW w:w="1701" w:type="dxa"/>
            <w:tcBorders>
              <w:top w:val="nil"/>
              <w:left w:val="nil"/>
              <w:bottom w:val="single" w:color="auto" w:sz="4" w:space="0"/>
              <w:right w:val="single" w:color="auto" w:sz="4" w:space="0"/>
            </w:tcBorders>
            <w:vAlign w:val="center"/>
          </w:tcPr>
          <w:p>
            <w:pPr>
              <w:widowControl/>
              <w:spacing w:line="276"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项</w:t>
            </w:r>
          </w:p>
        </w:tc>
      </w:tr>
    </w:tbl>
    <w:p>
      <w:pPr>
        <w:spacing w:line="276" w:lineRule="auto"/>
        <w:ind w:firstLine="480" w:firstLineChars="200"/>
        <w:jc w:val="left"/>
        <w:rPr>
          <w:rFonts w:ascii="宋体" w:hAnsi="宋体" w:eastAsia="宋体"/>
          <w:sz w:val="24"/>
          <w:szCs w:val="24"/>
        </w:rPr>
      </w:pPr>
    </w:p>
    <w:p>
      <w:pPr>
        <w:pStyle w:val="6"/>
        <w:numPr>
          <w:ilvl w:val="0"/>
          <w:numId w:val="1"/>
        </w:numPr>
        <w:spacing w:line="276" w:lineRule="auto"/>
        <w:ind w:firstLineChars="0"/>
        <w:jc w:val="left"/>
        <w:rPr>
          <w:rFonts w:ascii="宋体" w:hAnsi="宋体" w:eastAsia="宋体"/>
          <w:b/>
          <w:bCs/>
          <w:sz w:val="24"/>
          <w:szCs w:val="24"/>
        </w:rPr>
      </w:pPr>
      <w:r>
        <w:rPr>
          <w:rFonts w:hint="eastAsia" w:ascii="宋体" w:hAnsi="宋体" w:eastAsia="宋体"/>
          <w:b/>
          <w:bCs/>
          <w:sz w:val="24"/>
          <w:szCs w:val="24"/>
        </w:rPr>
        <w:t>分项报价</w:t>
      </w:r>
    </w:p>
    <w:p>
      <w:pPr>
        <w:spacing w:line="276" w:lineRule="auto"/>
        <w:ind w:left="480"/>
        <w:jc w:val="left"/>
        <w:rPr>
          <w:rFonts w:ascii="宋体" w:hAnsi="宋体" w:eastAsia="宋体"/>
          <w:sz w:val="24"/>
          <w:szCs w:val="24"/>
        </w:rPr>
      </w:pPr>
      <w:r>
        <w:rPr>
          <w:rFonts w:hint="eastAsia" w:ascii="宋体" w:hAnsi="宋体" w:eastAsia="宋体"/>
          <w:sz w:val="24"/>
          <w:szCs w:val="24"/>
        </w:rPr>
        <w:t>A、拆除部分</w:t>
      </w:r>
    </w:p>
    <w:tbl>
      <w:tblPr>
        <w:tblStyle w:val="4"/>
        <w:tblW w:w="8744" w:type="dxa"/>
        <w:tblInd w:w="0" w:type="dxa"/>
        <w:tblLayout w:type="fixed"/>
        <w:tblCellMar>
          <w:top w:w="0" w:type="dxa"/>
          <w:left w:w="0" w:type="dxa"/>
          <w:bottom w:w="0" w:type="dxa"/>
          <w:right w:w="0" w:type="dxa"/>
        </w:tblCellMar>
      </w:tblPr>
      <w:tblGrid>
        <w:gridCol w:w="663"/>
        <w:gridCol w:w="2066"/>
        <w:gridCol w:w="4051"/>
        <w:gridCol w:w="1005"/>
        <w:gridCol w:w="959"/>
      </w:tblGrid>
      <w:tr>
        <w:tblPrEx>
          <w:tblCellMar>
            <w:top w:w="0" w:type="dxa"/>
            <w:left w:w="0" w:type="dxa"/>
            <w:bottom w:w="0" w:type="dxa"/>
            <w:right w:w="0" w:type="dxa"/>
          </w:tblCellMar>
        </w:tblPrEx>
        <w:trPr>
          <w:trHeight w:val="6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工艺做法说明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r>
      <w:tr>
        <w:tblPrEx>
          <w:tblCellMar>
            <w:top w:w="0" w:type="dxa"/>
            <w:left w:w="0" w:type="dxa"/>
            <w:bottom w:w="0" w:type="dxa"/>
            <w:right w:w="0" w:type="dxa"/>
          </w:tblCellMar>
        </w:tblPrEx>
        <w:trPr>
          <w:trHeight w:val="6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原地面处理</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人工凿毛10mm深度，水冲凿毛部位清理附件及残渣保持湿润</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81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门框扩大处理</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1、指不违反建筑规范的非承重墙</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2、拆除长660mm，厚220mm实心砖墙,扩大门边框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1.58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m3</w:t>
            </w:r>
          </w:p>
        </w:tc>
      </w:tr>
      <w:tr>
        <w:tblPrEx>
          <w:tblCellMar>
            <w:top w:w="0" w:type="dxa"/>
            <w:left w:w="0" w:type="dxa"/>
            <w:bottom w:w="0" w:type="dxa"/>
            <w:right w:w="0" w:type="dxa"/>
          </w:tblCellMar>
        </w:tblPrEx>
        <w:trPr>
          <w:trHeight w:val="6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拆除原入户单开门</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人工费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2.00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套</w:t>
            </w:r>
          </w:p>
        </w:tc>
      </w:tr>
      <w:tr>
        <w:tblPrEx>
          <w:tblCellMar>
            <w:top w:w="0" w:type="dxa"/>
            <w:left w:w="0" w:type="dxa"/>
            <w:bottom w:w="0" w:type="dxa"/>
            <w:right w:w="0" w:type="dxa"/>
          </w:tblCellMar>
        </w:tblPrEx>
        <w:trPr>
          <w:trHeight w:val="6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拆除原吊扇</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人工费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8.00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扇</w:t>
            </w:r>
          </w:p>
        </w:tc>
      </w:tr>
      <w:tr>
        <w:tblPrEx>
          <w:tblCellMar>
            <w:top w:w="0" w:type="dxa"/>
            <w:left w:w="0" w:type="dxa"/>
            <w:bottom w:w="0" w:type="dxa"/>
            <w:right w:w="0" w:type="dxa"/>
          </w:tblCellMar>
        </w:tblPrEx>
        <w:trPr>
          <w:trHeight w:val="600"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拆除其他装饰</w:t>
            </w:r>
          </w:p>
        </w:tc>
        <w:tc>
          <w:tcPr>
            <w:tcW w:w="40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拆除原窗帘盒、原灯具、洗手台、黑板、书柜、原不锈钢护栏等</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1.00 </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ascii="宋体" w:hAnsi="宋体" w:eastAsia="宋体"/>
          <w:sz w:val="24"/>
          <w:szCs w:val="24"/>
        </w:rPr>
        <w:t>B</w:t>
      </w:r>
      <w:r>
        <w:rPr>
          <w:rFonts w:hint="eastAsia" w:ascii="宋体" w:hAnsi="宋体" w:eastAsia="宋体"/>
          <w:sz w:val="24"/>
          <w:szCs w:val="24"/>
        </w:rPr>
        <w:t>、基础部分</w:t>
      </w:r>
    </w:p>
    <w:tbl>
      <w:tblPr>
        <w:tblStyle w:val="4"/>
        <w:tblW w:w="8683" w:type="dxa"/>
        <w:tblInd w:w="0" w:type="dxa"/>
        <w:tblLayout w:type="autofit"/>
        <w:tblCellMar>
          <w:top w:w="0" w:type="dxa"/>
          <w:left w:w="0" w:type="dxa"/>
          <w:bottom w:w="0" w:type="dxa"/>
          <w:right w:w="0" w:type="dxa"/>
        </w:tblCellMar>
      </w:tblPr>
      <w:tblGrid>
        <w:gridCol w:w="840"/>
        <w:gridCol w:w="1874"/>
        <w:gridCol w:w="4066"/>
        <w:gridCol w:w="1005"/>
        <w:gridCol w:w="898"/>
      </w:tblGrid>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工艺做法说明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地面红色清水砖铺设</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基层清理，基层处理找平，地面弹线定位，铺摊水泥砂浆结合层，红色清水砖铺设，养护，清理灌缝</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142.38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零星砖砌</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基层清理，基层处理找平，地面弹线定位，铺摊水泥砂浆结合层，砌砖，素水泥砂浆抹灰</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1.00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大理石板座椅</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基层处理，洒水润湿基层，弹线定位，石材涂抹3mm厚素水泥浆镶放于砖砌基础上</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13.01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石膏板吊顶</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预埋钢筋吊杆，38mm条列轻钢龙骨铺设，18mm阻燃板装订于龙骨上，面封9.5mm纸面石膏板</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40.48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墙面红砖黏贴</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墙面基层清理，铺摊结构胶结合层，红色面砖铺设，勾缝剂勾缝，养护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115.62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墙面文化砖黏贴</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墙面基层清理，铺摊结构胶结合层，文化砖铺设，勾缝剂勾缝，养护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23.89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大理石门框</w:t>
            </w:r>
          </w:p>
        </w:tc>
        <w:tc>
          <w:tcPr>
            <w:tcW w:w="40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基层处理，洒水润湿基层，弹线定位，石材涂抹3mm厚素水泥浆镶贴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11.94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C、油漆涂料部分</w:t>
      </w:r>
    </w:p>
    <w:tbl>
      <w:tblPr>
        <w:tblStyle w:val="4"/>
        <w:tblW w:w="8683" w:type="dxa"/>
        <w:tblInd w:w="0" w:type="dxa"/>
        <w:tblLayout w:type="autofit"/>
        <w:tblCellMar>
          <w:top w:w="0" w:type="dxa"/>
          <w:left w:w="0" w:type="dxa"/>
          <w:bottom w:w="0" w:type="dxa"/>
          <w:right w:w="0" w:type="dxa"/>
        </w:tblCellMar>
      </w:tblPr>
      <w:tblGrid>
        <w:gridCol w:w="840"/>
        <w:gridCol w:w="2055"/>
        <w:gridCol w:w="3885"/>
        <w:gridCol w:w="1005"/>
        <w:gridCol w:w="898"/>
      </w:tblGrid>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工艺做法说明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墙面隔断及造型满批腻子打磨，加装塑料阴阳角</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采用优质滑石粉加环保胶水调配，批刮至表面平整，基层打磨、点补、修正</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157.44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108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墙面隔断及造型喷涂真石漆</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基层处理，滚涂黑色封闭底漆，弹分格线，黏贴分格条胶带，喷涂真石漆，撕揭分格条胶带，打磨真石漆表面，上罩面漆</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52.52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81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吊顶乳胶漆喷涂</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基层处理，满刮腻子两遍，底层涂料，中层涂料两遍，乳胶漆面层喷涂，清扫</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176.44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Style w:val="9"/>
                <w:rFonts w:hint="default"/>
                <w:lang w:bidi="ar"/>
              </w:rPr>
              <w:t>m</w:t>
            </w:r>
            <w:r>
              <w:rPr>
                <w:rStyle w:val="10"/>
                <w:rFonts w:hint="default"/>
                <w:lang w:bidi="ar"/>
              </w:rPr>
              <w:t>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防火涂料</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木作材料龙骨基层涂刷防火涂料两遍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157.44 </w:t>
            </w:r>
          </w:p>
        </w:tc>
        <w:tc>
          <w:tcPr>
            <w:tcW w:w="8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bl>
    <w:p>
      <w:pPr>
        <w:spacing w:line="276" w:lineRule="auto"/>
        <w:ind w:firstLine="480" w:firstLineChars="200"/>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ascii="宋体" w:hAnsi="宋体" w:eastAsia="宋体"/>
          <w:sz w:val="24"/>
          <w:szCs w:val="24"/>
        </w:rPr>
        <w:t>D</w:t>
      </w:r>
      <w:r>
        <w:rPr>
          <w:rFonts w:hint="eastAsia" w:ascii="宋体" w:hAnsi="宋体" w:eastAsia="宋体"/>
          <w:sz w:val="24"/>
          <w:szCs w:val="24"/>
        </w:rPr>
        <w:t>、电路改造及主材、灯具、开关面板部分</w:t>
      </w:r>
    </w:p>
    <w:tbl>
      <w:tblPr>
        <w:tblStyle w:val="4"/>
        <w:tblW w:w="8430" w:type="dxa"/>
        <w:tblInd w:w="0" w:type="dxa"/>
        <w:tblLayout w:type="autofit"/>
        <w:tblCellMar>
          <w:top w:w="0" w:type="dxa"/>
          <w:left w:w="0" w:type="dxa"/>
          <w:bottom w:w="0" w:type="dxa"/>
          <w:right w:w="0" w:type="dxa"/>
        </w:tblCellMar>
      </w:tblPr>
      <w:tblGrid>
        <w:gridCol w:w="840"/>
        <w:gridCol w:w="2055"/>
        <w:gridCol w:w="3885"/>
        <w:gridCol w:w="1005"/>
        <w:gridCol w:w="645"/>
      </w:tblGrid>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工艺做法说明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全屋电路改造费用</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电路改造布管布线材料费、人工费</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r>
              <w:rPr>
                <w:rFonts w:hint="eastAsia" w:ascii="宋体" w:hAnsi="宋体" w:eastAsia="宋体" w:cs="宋体"/>
                <w:color w:val="000000"/>
                <w:kern w:val="0"/>
                <w:sz w:val="22"/>
                <w:vertAlign w:val="superscript"/>
                <w:lang w:bidi="ar"/>
              </w:rPr>
              <w:t>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筒灯</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筒灯购买及安装</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55.00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盏</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LED灯管</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吊顶隐藏LED灯带及展墙隐藏LED灯带</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70.00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安全出口指示灯、应急灯</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4.00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五孔插座</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5.00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网络电视插座</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3.00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开关面板</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3.00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配电箱</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1.00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个</w:t>
            </w:r>
          </w:p>
        </w:tc>
      </w:tr>
    </w:tbl>
    <w:p>
      <w:pPr>
        <w:spacing w:line="276" w:lineRule="auto"/>
        <w:jc w:val="left"/>
        <w:rPr>
          <w:rFonts w:ascii="宋体" w:hAnsi="宋体" w:eastAsia="宋体"/>
          <w:sz w:val="24"/>
          <w:szCs w:val="24"/>
        </w:rPr>
      </w:pPr>
    </w:p>
    <w:p>
      <w:pPr>
        <w:spacing w:line="276" w:lineRule="auto"/>
        <w:ind w:firstLine="480" w:firstLineChars="200"/>
        <w:jc w:val="left"/>
        <w:rPr>
          <w:rFonts w:ascii="宋体" w:hAnsi="宋体" w:eastAsia="宋体"/>
          <w:sz w:val="24"/>
          <w:szCs w:val="24"/>
        </w:rPr>
      </w:pPr>
      <w:r>
        <w:rPr>
          <w:rFonts w:ascii="宋体" w:hAnsi="宋体" w:eastAsia="宋体"/>
          <w:sz w:val="24"/>
          <w:szCs w:val="24"/>
        </w:rPr>
        <w:t>E</w:t>
      </w:r>
      <w:r>
        <w:rPr>
          <w:rFonts w:hint="eastAsia" w:ascii="宋体" w:hAnsi="宋体" w:eastAsia="宋体"/>
          <w:sz w:val="24"/>
          <w:szCs w:val="24"/>
        </w:rPr>
        <w:t>、其他部分</w:t>
      </w:r>
    </w:p>
    <w:tbl>
      <w:tblPr>
        <w:tblStyle w:val="4"/>
        <w:tblW w:w="8484" w:type="dxa"/>
        <w:tblInd w:w="0" w:type="dxa"/>
        <w:tblLayout w:type="autofit"/>
        <w:tblCellMar>
          <w:top w:w="0" w:type="dxa"/>
          <w:left w:w="0" w:type="dxa"/>
          <w:bottom w:w="0" w:type="dxa"/>
          <w:right w:w="0" w:type="dxa"/>
        </w:tblCellMar>
      </w:tblPr>
      <w:tblGrid>
        <w:gridCol w:w="840"/>
        <w:gridCol w:w="2055"/>
        <w:gridCol w:w="3885"/>
        <w:gridCol w:w="1005"/>
        <w:gridCol w:w="699"/>
      </w:tblGrid>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序号</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项目名称</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工艺做法说明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数量</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lang w:bidi="ar"/>
              </w:rPr>
              <w:t>单位</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钢化玻璃平开门</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2500*2100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1.00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樘</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钢化玻璃平开门</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1000*2100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1.00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樘</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防腐防潮处理</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按建筑面积计算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白蚁防治处理</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按建筑面积计算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辅材搬运费</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按建筑面积计算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垃圾清运费</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此价格为将垃圾搬运至一楼物业指定的地点，如需外运，费用另计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r>
        <w:tblPrEx>
          <w:tblCellMar>
            <w:top w:w="0" w:type="dxa"/>
            <w:left w:w="0" w:type="dxa"/>
            <w:bottom w:w="0" w:type="dxa"/>
            <w:right w:w="0" w:type="dxa"/>
          </w:tblCellMar>
        </w:tblPrEx>
        <w:trPr>
          <w:trHeight w:val="600" w:hRule="atLeast"/>
        </w:trPr>
        <w:tc>
          <w:tcPr>
            <w:tcW w:w="8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20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清洁费</w:t>
            </w:r>
          </w:p>
        </w:tc>
        <w:tc>
          <w:tcPr>
            <w:tcW w:w="3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按建筑面积计算</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 xml:space="preserve">138.86 </w:t>
            </w:r>
          </w:p>
        </w:tc>
        <w:tc>
          <w:tcPr>
            <w:tcW w:w="6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m2</w:t>
            </w:r>
          </w:p>
        </w:tc>
      </w:tr>
    </w:tbl>
    <w:p>
      <w:pPr>
        <w:spacing w:line="276" w:lineRule="auto"/>
        <w:ind w:firstLine="480" w:firstLineChars="200"/>
        <w:jc w:val="left"/>
        <w:rPr>
          <w:rFonts w:ascii="宋体" w:hAnsi="宋体" w:eastAsia="宋体"/>
          <w:sz w:val="24"/>
          <w:szCs w:val="24"/>
        </w:rPr>
      </w:pPr>
    </w:p>
    <w:p>
      <w:pPr>
        <w:spacing w:line="276" w:lineRule="auto"/>
        <w:ind w:firstLine="482" w:firstLineChars="200"/>
        <w:jc w:val="left"/>
        <w:rPr>
          <w:rFonts w:ascii="宋体" w:hAnsi="宋体" w:eastAsia="宋体"/>
          <w:b/>
          <w:bCs/>
          <w:sz w:val="24"/>
          <w:szCs w:val="24"/>
        </w:rPr>
      </w:pPr>
      <w:r>
        <w:rPr>
          <w:rFonts w:ascii="宋体" w:hAnsi="宋体" w:eastAsia="宋体"/>
          <w:b/>
          <w:bCs/>
          <w:sz w:val="24"/>
          <w:szCs w:val="24"/>
        </w:rPr>
        <w:t xml:space="preserve">二、采购要求 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1、本次询价为整体采购，询价响应供应商报价时须</w:t>
      </w:r>
      <w:r>
        <w:rPr>
          <w:rFonts w:hint="eastAsia" w:ascii="宋体" w:hAnsi="宋体" w:eastAsia="宋体"/>
          <w:sz w:val="24"/>
          <w:szCs w:val="24"/>
        </w:rPr>
        <w:t>按采购清单要求</w:t>
      </w:r>
      <w:r>
        <w:rPr>
          <w:rFonts w:ascii="宋体" w:hAnsi="宋体" w:eastAsia="宋体"/>
          <w:sz w:val="24"/>
          <w:szCs w:val="24"/>
        </w:rPr>
        <w:t xml:space="preserve">写明单价及总价、产品的详细配置参数，报价包含货物印刷、装订、运输、装卸、税收、售后服务等交付采购人使用前所有可能发生的费用，签订协议后不再增补任何费用。  </w:t>
      </w:r>
    </w:p>
    <w:p>
      <w:pPr>
        <w:spacing w:line="276" w:lineRule="auto"/>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项目</w:t>
      </w:r>
      <w:r>
        <w:rPr>
          <w:rFonts w:ascii="宋体" w:hAnsi="宋体" w:eastAsia="宋体"/>
          <w:sz w:val="24"/>
          <w:szCs w:val="24"/>
        </w:rPr>
        <w:t>期：签订协议后按照采购人规定</w:t>
      </w:r>
      <w:r>
        <w:rPr>
          <w:rFonts w:hint="eastAsia" w:ascii="宋体" w:hAnsi="宋体" w:eastAsia="宋体"/>
          <w:sz w:val="24"/>
          <w:szCs w:val="24"/>
        </w:rPr>
        <w:t>的期限内全部运抵交付。</w:t>
      </w:r>
      <w:r>
        <w:rPr>
          <w:rFonts w:ascii="宋体" w:hAnsi="宋体" w:eastAsia="宋体"/>
          <w:sz w:val="24"/>
          <w:szCs w:val="24"/>
        </w:rPr>
        <w:t> </w:t>
      </w:r>
    </w:p>
    <w:p>
      <w:pPr>
        <w:spacing w:line="276" w:lineRule="auto"/>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施工</w:t>
      </w:r>
      <w:r>
        <w:rPr>
          <w:rFonts w:ascii="宋体" w:hAnsi="宋体" w:eastAsia="宋体"/>
          <w:sz w:val="24"/>
          <w:szCs w:val="24"/>
        </w:rPr>
        <w:t>地点： </w:t>
      </w:r>
      <w:r>
        <w:rPr>
          <w:rFonts w:hint="eastAsia" w:ascii="宋体" w:hAnsi="宋体" w:eastAsia="宋体"/>
          <w:sz w:val="24"/>
          <w:szCs w:val="24"/>
        </w:rPr>
        <w:t>晋江华侨职业中专学校</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ascii="宋体" w:hAnsi="宋体" w:eastAsia="宋体"/>
          <w:sz w:val="24"/>
          <w:szCs w:val="24"/>
        </w:rPr>
        <w:t>4、询价响应供应商的资质要求：（未达到资质要求的，视为无效询价响应） </w:t>
      </w:r>
    </w:p>
    <w:p>
      <w:pPr>
        <w:pStyle w:val="6"/>
        <w:numPr>
          <w:ilvl w:val="0"/>
          <w:numId w:val="2"/>
        </w:numPr>
        <w:spacing w:line="276" w:lineRule="auto"/>
        <w:ind w:firstLineChars="0"/>
        <w:jc w:val="left"/>
        <w:rPr>
          <w:rFonts w:ascii="宋体" w:hAnsi="宋体" w:eastAsia="宋体"/>
          <w:sz w:val="24"/>
          <w:szCs w:val="24"/>
        </w:rPr>
      </w:pPr>
      <w:r>
        <w:rPr>
          <w:rFonts w:hint="eastAsia" w:ascii="宋体" w:hAnsi="宋体" w:eastAsia="宋体"/>
          <w:sz w:val="24"/>
          <w:szCs w:val="24"/>
        </w:rPr>
        <w:t>具有中华人民共和国独立企业法人的营业执照，能独立承担民事责任。</w:t>
      </w:r>
    </w:p>
    <w:p>
      <w:pPr>
        <w:pStyle w:val="6"/>
        <w:numPr>
          <w:ilvl w:val="0"/>
          <w:numId w:val="2"/>
        </w:numPr>
        <w:spacing w:line="276" w:lineRule="auto"/>
        <w:ind w:firstLineChars="0"/>
        <w:jc w:val="left"/>
        <w:rPr>
          <w:rFonts w:hint="eastAsia" w:ascii="宋体" w:hAnsi="宋体" w:eastAsia="宋体"/>
          <w:sz w:val="24"/>
          <w:szCs w:val="24"/>
        </w:rPr>
      </w:pPr>
      <w:r>
        <w:rPr>
          <w:rFonts w:hint="eastAsia" w:ascii="宋体" w:hAnsi="宋体" w:eastAsia="宋体"/>
          <w:sz w:val="24"/>
          <w:szCs w:val="24"/>
        </w:rPr>
        <w:t>具备建筑工程施工总承包叁级以上资质（证书有效期须在报价之日起半年内有效）。</w:t>
      </w:r>
    </w:p>
    <w:p>
      <w:pPr>
        <w:pStyle w:val="6"/>
        <w:numPr>
          <w:ilvl w:val="0"/>
          <w:numId w:val="2"/>
        </w:numPr>
        <w:spacing w:line="276" w:lineRule="auto"/>
        <w:ind w:firstLineChars="0"/>
        <w:jc w:val="left"/>
        <w:rPr>
          <w:rFonts w:hint="eastAsia" w:ascii="宋体" w:hAnsi="宋体" w:eastAsia="宋体"/>
          <w:sz w:val="24"/>
          <w:szCs w:val="24"/>
        </w:rPr>
      </w:pPr>
      <w:r>
        <w:rPr>
          <w:rFonts w:hint="eastAsia" w:ascii="宋体" w:hAnsi="宋体" w:eastAsia="宋体"/>
          <w:sz w:val="24"/>
          <w:szCs w:val="24"/>
        </w:rPr>
        <w:t>具备建筑装修装饰工程专业承包贰级以上资质（证书有效期须在报价之日起半年内有效）。</w:t>
      </w:r>
    </w:p>
    <w:p>
      <w:pPr>
        <w:pStyle w:val="6"/>
        <w:numPr>
          <w:ilvl w:val="0"/>
          <w:numId w:val="2"/>
        </w:numPr>
        <w:spacing w:line="276" w:lineRule="auto"/>
        <w:ind w:firstLineChars="0"/>
        <w:jc w:val="left"/>
        <w:rPr>
          <w:rFonts w:hint="eastAsia" w:ascii="宋体" w:hAnsi="宋体" w:eastAsia="宋体"/>
          <w:sz w:val="24"/>
          <w:szCs w:val="24"/>
        </w:rPr>
      </w:pPr>
      <w:r>
        <w:rPr>
          <w:rFonts w:hint="eastAsia" w:ascii="宋体" w:hAnsi="宋体" w:eastAsia="宋体"/>
          <w:sz w:val="24"/>
          <w:szCs w:val="24"/>
        </w:rPr>
        <w:t>具备安全生产许可证（证书有效期须在报价之日起半年内有效）。</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具有可靠良好的</w:t>
      </w:r>
      <w:r>
        <w:rPr>
          <w:rFonts w:hint="eastAsia" w:ascii="宋体" w:hAnsi="宋体" w:eastAsia="宋体"/>
          <w:sz w:val="24"/>
          <w:szCs w:val="24"/>
        </w:rPr>
        <w:t>信用（提供信用中国查询记录）</w:t>
      </w:r>
      <w:r>
        <w:rPr>
          <w:rFonts w:ascii="宋体" w:hAnsi="宋体" w:eastAsia="宋体"/>
          <w:sz w:val="24"/>
          <w:szCs w:val="24"/>
        </w:rPr>
        <w:t>。  </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 xml:space="preserve">参加本批采购询价响应的前三年内没有法律纠纷及不良记录，在经营活动中没有重大违法记录。  </w:t>
      </w:r>
    </w:p>
    <w:p>
      <w:pPr>
        <w:pStyle w:val="6"/>
        <w:numPr>
          <w:ilvl w:val="0"/>
          <w:numId w:val="2"/>
        </w:numPr>
        <w:spacing w:line="276" w:lineRule="auto"/>
        <w:ind w:firstLineChars="0"/>
        <w:jc w:val="left"/>
        <w:rPr>
          <w:rFonts w:ascii="宋体" w:hAnsi="宋体" w:eastAsia="宋体"/>
          <w:sz w:val="24"/>
          <w:szCs w:val="24"/>
        </w:rPr>
      </w:pPr>
      <w:r>
        <w:rPr>
          <w:rFonts w:ascii="宋体" w:hAnsi="宋体" w:eastAsia="宋体"/>
          <w:sz w:val="24"/>
          <w:szCs w:val="24"/>
        </w:rPr>
        <w:t>法律、行政法规规定的其他条件。   </w:t>
      </w:r>
    </w:p>
    <w:p>
      <w:pPr>
        <w:spacing w:line="276" w:lineRule="auto"/>
        <w:ind w:firstLine="480" w:firstLineChars="200"/>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5</w:t>
      </w:r>
      <w:r>
        <w:rPr>
          <w:rFonts w:ascii="宋体" w:hAnsi="宋体" w:eastAsia="宋体"/>
          <w:sz w:val="24"/>
          <w:szCs w:val="24"/>
        </w:rPr>
        <w:t>、询价文件的组成（正本一份，副本一份）询价响应书、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6</w:t>
      </w:r>
      <w:r>
        <w:rPr>
          <w:rFonts w:ascii="宋体" w:hAnsi="宋体" w:eastAsia="宋体"/>
          <w:sz w:val="24"/>
          <w:szCs w:val="24"/>
        </w:rPr>
        <w:t xml:space="preserve">、采购方在确定成交供应商后有权对成交产品的结构、规格做适当调整，调整内容将以工作联系函形式提前发至供应商。 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7</w:t>
      </w:r>
      <w:r>
        <w:rPr>
          <w:rFonts w:ascii="宋体" w:hAnsi="宋体" w:eastAsia="宋体"/>
          <w:sz w:val="24"/>
          <w:szCs w:val="24"/>
        </w:rPr>
        <w:t>、询价响应报价要求：询价响应总报价为货物送达采购人指</w:t>
      </w:r>
      <w:r>
        <w:rPr>
          <w:rFonts w:hint="eastAsia" w:ascii="宋体" w:hAnsi="宋体" w:eastAsia="宋体"/>
          <w:sz w:val="24"/>
          <w:szCs w:val="24"/>
        </w:rPr>
        <w:t>定地点，经采购人验收合格并交货完毕所有可能发生的费用，包括货物印刷、装订、运输、装卸、保险费、税收以及售后服务等费用。</w:t>
      </w:r>
      <w:r>
        <w:rPr>
          <w:rFonts w:ascii="宋体" w:hAnsi="宋体" w:eastAsia="宋体"/>
          <w:sz w:val="24"/>
          <w:szCs w:val="24"/>
        </w:rPr>
        <w:t xml:space="preserve">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、报价方不得虚报各项产品指标，所供货物</w:t>
      </w:r>
      <w:r>
        <w:rPr>
          <w:rFonts w:hint="eastAsia" w:ascii="宋体" w:hAnsi="宋体" w:eastAsia="宋体"/>
          <w:sz w:val="24"/>
          <w:szCs w:val="24"/>
        </w:rPr>
        <w:t>或服务</w:t>
      </w:r>
      <w:r>
        <w:rPr>
          <w:rFonts w:ascii="宋体" w:hAnsi="宋体" w:eastAsia="宋体"/>
          <w:sz w:val="24"/>
          <w:szCs w:val="24"/>
        </w:rPr>
        <w:t>若不能符合</w:t>
      </w:r>
      <w:r>
        <w:rPr>
          <w:rFonts w:hint="eastAsia" w:ascii="宋体" w:hAnsi="宋体" w:eastAsia="宋体"/>
          <w:sz w:val="24"/>
          <w:szCs w:val="24"/>
        </w:rPr>
        <w:t>项目</w:t>
      </w:r>
      <w:r>
        <w:rPr>
          <w:rFonts w:ascii="宋体" w:hAnsi="宋体" w:eastAsia="宋体"/>
          <w:sz w:val="24"/>
          <w:szCs w:val="24"/>
        </w:rPr>
        <w:t>要求，成交供应商必须接受全额退还</w:t>
      </w:r>
      <w:r>
        <w:rPr>
          <w:rFonts w:hint="eastAsia" w:ascii="宋体" w:hAnsi="宋体" w:eastAsia="宋体"/>
          <w:sz w:val="24"/>
          <w:szCs w:val="24"/>
        </w:rPr>
        <w:t>已付款项</w:t>
      </w:r>
      <w:r>
        <w:rPr>
          <w:rFonts w:ascii="宋体" w:hAnsi="宋体" w:eastAsia="宋体"/>
          <w:sz w:val="24"/>
          <w:szCs w:val="24"/>
        </w:rPr>
        <w:t xml:space="preserve">，并承担由此给采购单位造成的经济损失。  </w:t>
      </w:r>
    </w:p>
    <w:p>
      <w:pPr>
        <w:spacing w:line="276" w:lineRule="auto"/>
        <w:ind w:firstLine="480" w:firstLineChars="200"/>
        <w:jc w:val="left"/>
        <w:rPr>
          <w:rFonts w:ascii="宋体" w:hAnsi="宋体" w:eastAsia="宋体"/>
          <w:sz w:val="24"/>
          <w:szCs w:val="24"/>
        </w:rPr>
      </w:pPr>
      <w:r>
        <w:rPr>
          <w:rFonts w:hint="eastAsia" w:ascii="宋体" w:hAnsi="宋体" w:eastAsia="宋体"/>
          <w:sz w:val="24"/>
          <w:szCs w:val="24"/>
        </w:rPr>
        <w:t>9</w:t>
      </w:r>
      <w:r>
        <w:rPr>
          <w:rFonts w:ascii="宋体" w:hAnsi="宋体" w:eastAsia="宋体"/>
          <w:sz w:val="24"/>
          <w:szCs w:val="24"/>
        </w:rPr>
        <w:t xml:space="preserve">、评审原则：在所有的询价文件符合或高于询价采购文件各项要求的情况下，采购人综合考虑择优选择供应商。  </w:t>
      </w:r>
    </w:p>
    <w:p>
      <w:pPr>
        <w:spacing w:line="276" w:lineRule="auto"/>
        <w:ind w:firstLine="480" w:firstLineChars="200"/>
        <w:jc w:val="left"/>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0</w:t>
      </w:r>
      <w:r>
        <w:rPr>
          <w:rFonts w:ascii="宋体" w:hAnsi="宋体" w:eastAsia="宋体"/>
          <w:sz w:val="24"/>
          <w:szCs w:val="24"/>
        </w:rPr>
        <w:t>、出现下列情况之一者，询价响应文件无效，作废处理： 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 xml:space="preserve">未提供营业执照有效复印件（加盖企业公章）。 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询价响应文件字迹模糊不清（包括提交的各类复印件） 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询价响应内容没有实质性响应询价文件要求。 </w:t>
      </w:r>
    </w:p>
    <w:p>
      <w:pPr>
        <w:pStyle w:val="6"/>
        <w:numPr>
          <w:ilvl w:val="0"/>
          <w:numId w:val="3"/>
        </w:numPr>
        <w:spacing w:line="276" w:lineRule="auto"/>
        <w:ind w:firstLineChars="0"/>
        <w:jc w:val="left"/>
        <w:rPr>
          <w:rFonts w:ascii="宋体" w:hAnsi="宋体" w:eastAsia="宋体"/>
          <w:sz w:val="24"/>
          <w:szCs w:val="24"/>
        </w:rPr>
      </w:pPr>
      <w:r>
        <w:rPr>
          <w:rFonts w:ascii="宋体" w:hAnsi="宋体" w:eastAsia="宋体"/>
          <w:sz w:val="24"/>
          <w:szCs w:val="24"/>
        </w:rPr>
        <w:t>未提供询价响应书、</w:t>
      </w:r>
      <w:r>
        <w:rPr>
          <w:rFonts w:hint="eastAsia" w:ascii="宋体" w:hAnsi="宋体" w:eastAsia="宋体"/>
          <w:sz w:val="24"/>
          <w:szCs w:val="24"/>
        </w:rPr>
        <w:t>报价</w:t>
      </w:r>
      <w:r>
        <w:rPr>
          <w:rFonts w:ascii="宋体" w:hAnsi="宋体" w:eastAsia="宋体"/>
          <w:sz w:val="24"/>
          <w:szCs w:val="24"/>
        </w:rPr>
        <w:t>一览表、</w:t>
      </w:r>
      <w:r>
        <w:rPr>
          <w:rFonts w:hint="eastAsia" w:ascii="宋体" w:hAnsi="宋体" w:eastAsia="宋体"/>
          <w:sz w:val="24"/>
          <w:szCs w:val="24"/>
        </w:rPr>
        <w:t>分项报价表、</w:t>
      </w:r>
      <w:r>
        <w:rPr>
          <w:rFonts w:ascii="宋体" w:hAnsi="宋体" w:eastAsia="宋体"/>
          <w:sz w:val="24"/>
          <w:szCs w:val="24"/>
        </w:rPr>
        <w:t>本询价文件其它条款要求提供的相关文件以及各询价响应供应商认为应该提</w:t>
      </w:r>
      <w:r>
        <w:rPr>
          <w:rFonts w:hint="eastAsia" w:ascii="宋体" w:hAnsi="宋体" w:eastAsia="宋体"/>
          <w:sz w:val="24"/>
          <w:szCs w:val="24"/>
        </w:rPr>
        <w:t>供的其它相关文件</w:t>
      </w:r>
      <w:r>
        <w:rPr>
          <w:rFonts w:ascii="宋体" w:hAnsi="宋体" w:eastAsia="宋体"/>
          <w:sz w:val="24"/>
          <w:szCs w:val="24"/>
        </w:rPr>
        <w:t>。</w:t>
      </w:r>
    </w:p>
    <w:p>
      <w:pPr>
        <w:spacing w:line="276" w:lineRule="auto"/>
        <w:jc w:val="left"/>
        <w:rPr>
          <w:rFonts w:ascii="宋体" w:hAnsi="宋体" w:eastAsia="宋体"/>
          <w:sz w:val="24"/>
          <w:szCs w:val="24"/>
        </w:rPr>
      </w:pPr>
      <w:r>
        <w:rPr>
          <w:rFonts w:ascii="宋体" w:hAnsi="宋体" w:eastAsia="宋体"/>
          <w:sz w:val="24"/>
          <w:szCs w:val="24"/>
        </w:rPr>
        <w:t xml:space="preserve">三、其它与本次询价有关的规定：  </w:t>
      </w:r>
    </w:p>
    <w:p>
      <w:pPr>
        <w:spacing w:line="276" w:lineRule="auto"/>
        <w:ind w:firstLine="480" w:firstLineChars="200"/>
        <w:jc w:val="left"/>
        <w:rPr>
          <w:rFonts w:ascii="宋体" w:hAnsi="宋体" w:eastAsia="宋体"/>
          <w:sz w:val="24"/>
          <w:szCs w:val="24"/>
        </w:rPr>
      </w:pPr>
      <w:r>
        <w:rPr>
          <w:rFonts w:ascii="宋体" w:hAnsi="宋体" w:eastAsia="宋体"/>
          <w:sz w:val="24"/>
          <w:szCs w:val="24"/>
        </w:rPr>
        <w:t>若采购货物行业受大环境影响，整体市场价格有较大幅度波动，</w:t>
      </w:r>
      <w:r>
        <w:rPr>
          <w:rFonts w:hint="eastAsia" w:ascii="宋体" w:hAnsi="宋体" w:eastAsia="宋体"/>
          <w:sz w:val="24"/>
          <w:szCs w:val="24"/>
        </w:rPr>
        <w:t>双方可重新根据实际市场情况</w:t>
      </w:r>
      <w:r>
        <w:rPr>
          <w:rFonts w:ascii="宋体" w:hAnsi="宋体" w:eastAsia="宋体"/>
          <w:sz w:val="24"/>
          <w:szCs w:val="24"/>
        </w:rPr>
        <w:t>商议协价。 </w:t>
      </w:r>
    </w:p>
    <w:p>
      <w:pPr>
        <w:spacing w:line="276" w:lineRule="auto"/>
        <w:jc w:val="left"/>
        <w:rPr>
          <w:rFonts w:ascii="宋体" w:hAnsi="宋体" w:eastAsia="宋体"/>
          <w:sz w:val="24"/>
          <w:szCs w:val="24"/>
        </w:rPr>
      </w:pPr>
      <w:r>
        <w:rPr>
          <w:rFonts w:hint="eastAsia" w:ascii="宋体" w:hAnsi="宋体" w:eastAsia="宋体"/>
          <w:sz w:val="24"/>
          <w:szCs w:val="24"/>
        </w:rPr>
        <w:t>采购单位：晋江华侨职业中专学校</w:t>
      </w:r>
    </w:p>
    <w:p>
      <w:pPr>
        <w:spacing w:line="276" w:lineRule="auto"/>
        <w:jc w:val="left"/>
        <w:rPr>
          <w:rFonts w:ascii="宋体" w:hAnsi="宋体" w:eastAsia="宋体"/>
          <w:sz w:val="24"/>
          <w:szCs w:val="24"/>
        </w:rPr>
      </w:pPr>
      <w:r>
        <w:rPr>
          <w:rFonts w:ascii="宋体" w:hAnsi="宋体" w:eastAsia="宋体"/>
          <w:sz w:val="24"/>
          <w:szCs w:val="24"/>
        </w:rPr>
        <w:t>联 系 人：</w:t>
      </w:r>
      <w:r>
        <w:rPr>
          <w:rFonts w:hint="eastAsia" w:ascii="宋体" w:hAnsi="宋体" w:eastAsia="宋体"/>
          <w:sz w:val="24"/>
          <w:szCs w:val="24"/>
          <w:lang w:eastAsia="zh-CN"/>
        </w:rPr>
        <w:t>林云忠</w:t>
      </w:r>
      <w:r>
        <w:rPr>
          <w:rFonts w:ascii="宋体" w:hAnsi="宋体" w:eastAsia="宋体"/>
          <w:sz w:val="24"/>
          <w:szCs w:val="24"/>
        </w:rPr>
        <w:t>     </w:t>
      </w:r>
    </w:p>
    <w:p>
      <w:pPr>
        <w:spacing w:line="276" w:lineRule="auto"/>
        <w:jc w:val="left"/>
        <w:rPr>
          <w:rFonts w:ascii="宋体" w:hAnsi="宋体" w:eastAsia="宋体"/>
          <w:sz w:val="24"/>
          <w:szCs w:val="24"/>
        </w:rPr>
      </w:pPr>
      <w:r>
        <w:rPr>
          <w:rFonts w:ascii="宋体" w:hAnsi="宋体" w:eastAsia="宋体"/>
          <w:sz w:val="24"/>
          <w:szCs w:val="24"/>
        </w:rPr>
        <w:t>邮箱</w:t>
      </w:r>
      <w:r>
        <w:rPr>
          <w:rFonts w:hint="eastAsia" w:ascii="宋体" w:hAnsi="宋体" w:eastAsia="宋体"/>
          <w:sz w:val="24"/>
          <w:szCs w:val="24"/>
        </w:rPr>
        <w:t>：</w:t>
      </w:r>
      <w:r>
        <w:rPr>
          <w:rFonts w:hint="eastAsia" w:ascii="宋体" w:hAnsi="宋体" w:eastAsia="宋体"/>
          <w:sz w:val="24"/>
          <w:szCs w:val="24"/>
          <w:lang w:val="en-US" w:eastAsia="zh-CN"/>
        </w:rPr>
        <w:t>303885616@qq.com</w:t>
      </w:r>
      <w:r>
        <w:rPr>
          <w:rFonts w:ascii="宋体" w:hAnsi="宋体" w:eastAsia="宋体"/>
          <w:sz w:val="24"/>
          <w:szCs w:val="24"/>
        </w:rPr>
        <w:t> </w:t>
      </w:r>
    </w:p>
    <w:p>
      <w:pPr>
        <w:spacing w:line="276" w:lineRule="auto"/>
        <w:jc w:val="left"/>
        <w:rPr>
          <w:rFonts w:hint="default" w:ascii="宋体" w:hAnsi="宋体" w:eastAsia="宋体"/>
          <w:sz w:val="24"/>
          <w:szCs w:val="24"/>
          <w:lang w:val="en-US" w:eastAsia="zh-CN"/>
        </w:rPr>
      </w:pPr>
      <w:r>
        <w:rPr>
          <w:rFonts w:ascii="宋体" w:hAnsi="宋体" w:eastAsia="宋体"/>
          <w:sz w:val="24"/>
          <w:szCs w:val="24"/>
        </w:rPr>
        <w:t>电话/传真：</w:t>
      </w:r>
      <w:r>
        <w:rPr>
          <w:rFonts w:hint="eastAsia" w:ascii="宋体" w:hAnsi="宋体" w:eastAsia="宋体"/>
          <w:sz w:val="24"/>
          <w:szCs w:val="24"/>
          <w:lang w:val="en-US" w:eastAsia="zh-CN"/>
        </w:rPr>
        <w:t>82001518</w:t>
      </w:r>
    </w:p>
    <w:p>
      <w:pPr>
        <w:spacing w:line="276" w:lineRule="auto"/>
        <w:jc w:val="left"/>
        <w:rPr>
          <w:rFonts w:hint="default" w:ascii="宋体" w:hAnsi="宋体" w:eastAsia="宋体"/>
          <w:sz w:val="24"/>
          <w:szCs w:val="24"/>
          <w:lang w:val="en-US" w:eastAsia="zh-CN"/>
        </w:rPr>
      </w:pPr>
      <w:r>
        <w:rPr>
          <w:rFonts w:ascii="宋体" w:hAnsi="宋体" w:eastAsia="宋体"/>
          <w:sz w:val="24"/>
          <w:szCs w:val="24"/>
        </w:rPr>
        <w:t>地 址：</w:t>
      </w:r>
      <w:r>
        <w:rPr>
          <w:rFonts w:hint="eastAsia" w:ascii="宋体" w:hAnsi="宋体" w:eastAsia="宋体"/>
          <w:sz w:val="24"/>
          <w:szCs w:val="24"/>
          <w:lang w:eastAsia="zh-CN"/>
        </w:rPr>
        <w:t>福建省晋江市西园街道双龙路</w:t>
      </w:r>
      <w:r>
        <w:rPr>
          <w:rFonts w:hint="eastAsia" w:ascii="宋体" w:hAnsi="宋体" w:eastAsia="宋体"/>
          <w:sz w:val="24"/>
          <w:szCs w:val="24"/>
          <w:lang w:val="en-US" w:eastAsia="zh-CN"/>
        </w:rPr>
        <w:t>463号</w:t>
      </w:r>
    </w:p>
    <w:p>
      <w:pPr>
        <w:spacing w:line="276" w:lineRule="auto"/>
        <w:jc w:val="left"/>
        <w:rPr>
          <w:rFonts w:ascii="宋体" w:hAnsi="宋体" w:eastAsia="宋体"/>
          <w:sz w:val="24"/>
          <w:szCs w:val="24"/>
        </w:rPr>
      </w:pPr>
    </w:p>
    <w:p>
      <w:pPr>
        <w:spacing w:line="276" w:lineRule="auto"/>
        <w:jc w:val="right"/>
        <w:rPr>
          <w:rFonts w:hint="eastAsia" w:ascii="宋体" w:hAnsi="宋体" w:eastAsia="宋体"/>
          <w:sz w:val="24"/>
          <w:szCs w:val="24"/>
          <w:lang w:eastAsia="zh-CN"/>
        </w:rPr>
      </w:pPr>
      <w:bookmarkStart w:id="0" w:name="_GoBack"/>
      <w:bookmarkEnd w:id="0"/>
      <w:r>
        <w:rPr>
          <w:rFonts w:hint="eastAsia" w:ascii="宋体" w:hAnsi="宋体" w:eastAsia="宋体"/>
          <w:sz w:val="24"/>
          <w:szCs w:val="24"/>
          <w:lang w:eastAsia="zh-CN"/>
        </w:rPr>
        <w:t>2020年</w:t>
      </w:r>
      <w:r>
        <w:rPr>
          <w:rFonts w:hint="eastAsia" w:ascii="宋体" w:hAnsi="宋体" w:eastAsia="宋体"/>
          <w:sz w:val="24"/>
          <w:szCs w:val="24"/>
          <w:lang w:val="en-US" w:eastAsia="zh-CN"/>
        </w:rPr>
        <w:t>10</w:t>
      </w:r>
      <w:r>
        <w:rPr>
          <w:rFonts w:hint="eastAsia" w:ascii="宋体" w:hAnsi="宋体" w:eastAsia="宋体"/>
          <w:sz w:val="24"/>
          <w:szCs w:val="24"/>
          <w:lang w:eastAsia="zh-CN"/>
        </w:rPr>
        <w:t>月</w:t>
      </w:r>
      <w:r>
        <w:rPr>
          <w:rFonts w:hint="eastAsia" w:ascii="宋体" w:hAnsi="宋体" w:eastAsia="宋体"/>
          <w:sz w:val="24"/>
          <w:szCs w:val="24"/>
          <w:lang w:val="en-US" w:eastAsia="zh-CN"/>
        </w:rPr>
        <w:t>12</w:t>
      </w:r>
      <w:r>
        <w:rPr>
          <w:rFonts w:hint="eastAsia" w:ascii="宋体" w:hAnsi="宋体" w:eastAsia="宋体"/>
          <w:sz w:val="24"/>
          <w:szCs w:val="24"/>
          <w:lang w:eastAsia="zh-CN"/>
        </w:rPr>
        <w:t>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0920026"/>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3C5"/>
    <w:multiLevelType w:val="multilevel"/>
    <w:tmpl w:val="31B813C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6A55943"/>
    <w:multiLevelType w:val="multilevel"/>
    <w:tmpl w:val="46A55943"/>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
    <w:nsid w:val="58836DE8"/>
    <w:multiLevelType w:val="multilevel"/>
    <w:tmpl w:val="58836DE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21"/>
    <w:rsid w:val="000054BC"/>
    <w:rsid w:val="000C44A2"/>
    <w:rsid w:val="000F2AAA"/>
    <w:rsid w:val="000F45B1"/>
    <w:rsid w:val="00147232"/>
    <w:rsid w:val="001804C5"/>
    <w:rsid w:val="001856FB"/>
    <w:rsid w:val="00190593"/>
    <w:rsid w:val="00222872"/>
    <w:rsid w:val="0023372F"/>
    <w:rsid w:val="0026530D"/>
    <w:rsid w:val="002B1157"/>
    <w:rsid w:val="002B3B6E"/>
    <w:rsid w:val="00334442"/>
    <w:rsid w:val="00342A71"/>
    <w:rsid w:val="003D2223"/>
    <w:rsid w:val="00472EED"/>
    <w:rsid w:val="005D6D72"/>
    <w:rsid w:val="005E27FD"/>
    <w:rsid w:val="005F1A76"/>
    <w:rsid w:val="005F5DB9"/>
    <w:rsid w:val="005F66A7"/>
    <w:rsid w:val="006126BD"/>
    <w:rsid w:val="00625597"/>
    <w:rsid w:val="00694A91"/>
    <w:rsid w:val="006C22D5"/>
    <w:rsid w:val="006E1160"/>
    <w:rsid w:val="00737C2D"/>
    <w:rsid w:val="007A1548"/>
    <w:rsid w:val="007C6A44"/>
    <w:rsid w:val="007F01ED"/>
    <w:rsid w:val="00856AB0"/>
    <w:rsid w:val="00873685"/>
    <w:rsid w:val="008C724D"/>
    <w:rsid w:val="00906E9F"/>
    <w:rsid w:val="00933921"/>
    <w:rsid w:val="009638FE"/>
    <w:rsid w:val="00965139"/>
    <w:rsid w:val="009A0A6B"/>
    <w:rsid w:val="009A1BEE"/>
    <w:rsid w:val="009F5821"/>
    <w:rsid w:val="00A34F8B"/>
    <w:rsid w:val="00A45AFB"/>
    <w:rsid w:val="00AB0155"/>
    <w:rsid w:val="00B7383B"/>
    <w:rsid w:val="00BA1E3B"/>
    <w:rsid w:val="00BE57D7"/>
    <w:rsid w:val="00BF0B7A"/>
    <w:rsid w:val="00C54B6A"/>
    <w:rsid w:val="00CE2122"/>
    <w:rsid w:val="00D0197C"/>
    <w:rsid w:val="00D57513"/>
    <w:rsid w:val="00D937F5"/>
    <w:rsid w:val="00DA50CE"/>
    <w:rsid w:val="00DD1956"/>
    <w:rsid w:val="00DD34A2"/>
    <w:rsid w:val="00E214C8"/>
    <w:rsid w:val="00E57FE9"/>
    <w:rsid w:val="00E80C3D"/>
    <w:rsid w:val="00E945EC"/>
    <w:rsid w:val="00E94ECD"/>
    <w:rsid w:val="00E9515E"/>
    <w:rsid w:val="00F663C0"/>
    <w:rsid w:val="00F82147"/>
    <w:rsid w:val="00F869DB"/>
    <w:rsid w:val="2D137559"/>
    <w:rsid w:val="2E5C773F"/>
    <w:rsid w:val="36666D9D"/>
    <w:rsid w:val="3F610FB7"/>
    <w:rsid w:val="620F2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01"/>
    <w:basedOn w:val="5"/>
    <w:qFormat/>
    <w:uiPriority w:val="0"/>
    <w:rPr>
      <w:rFonts w:hint="eastAsia" w:ascii="宋体" w:hAnsi="宋体" w:eastAsia="宋体" w:cs="宋体"/>
      <w:color w:val="000000"/>
      <w:sz w:val="22"/>
      <w:szCs w:val="22"/>
      <w:u w:val="none"/>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430</Words>
  <Characters>2452</Characters>
  <Lines>20</Lines>
  <Paragraphs>5</Paragraphs>
  <TotalTime>17</TotalTime>
  <ScaleCrop>false</ScaleCrop>
  <LinksUpToDate>false</LinksUpToDate>
  <CharactersWithSpaces>2877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2020-09-27T09:53:00Z</dcterms:created>
  <dc:creator>李 坤</dc:creator>
  <cp:lastModifiedBy>林云忠</cp:lastModifiedBy>
  <dcterms:modified xsi:type="dcterms:W3CDTF">2020-10-12T09:14:39Z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