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b/>
          <w:color w:val="auto"/>
          <w:w w:val="150"/>
          <w:sz w:val="52"/>
        </w:rPr>
      </w:pPr>
    </w:p>
    <w:p>
      <w:pPr>
        <w:rPr>
          <w:rFonts w:hint="eastAsia" w:ascii="宋体" w:hAnsi="宋体"/>
          <w:b/>
          <w:color w:val="auto"/>
          <w:w w:val="150"/>
          <w:sz w:val="52"/>
        </w:rPr>
      </w:pPr>
    </w:p>
    <w:p>
      <w:pPr>
        <w:jc w:val="center"/>
        <w:rPr>
          <w:rFonts w:hint="eastAsia" w:ascii="黑体" w:hAnsi="宋体" w:eastAsia="黑体"/>
          <w:b/>
          <w:color w:val="auto"/>
          <w:w w:val="150"/>
          <w:sz w:val="84"/>
          <w:szCs w:val="84"/>
        </w:rPr>
      </w:pPr>
      <w:r>
        <w:rPr>
          <w:rFonts w:hint="eastAsia" w:ascii="宋体" w:hAnsi="宋体"/>
          <w:b/>
          <w:color w:val="auto"/>
          <w:w w:val="150"/>
          <w:sz w:val="52"/>
          <w:szCs w:val="52"/>
        </w:rPr>
        <w:t xml:space="preserve"> </w:t>
      </w:r>
      <w:r>
        <w:rPr>
          <w:rFonts w:hint="eastAsia" w:ascii="黑体" w:hAnsi="宋体" w:eastAsia="黑体"/>
          <w:b/>
          <w:color w:val="auto"/>
          <w:w w:val="150"/>
          <w:sz w:val="84"/>
          <w:szCs w:val="84"/>
        </w:rPr>
        <w:t>询 价 文 件</w:t>
      </w:r>
    </w:p>
    <w:p>
      <w:pPr>
        <w:jc w:val="center"/>
        <w:rPr>
          <w:rFonts w:hint="eastAsia"/>
          <w:b/>
          <w:bCs/>
          <w:color w:val="auto"/>
          <w:sz w:val="48"/>
          <w:szCs w:val="48"/>
        </w:rPr>
      </w:pPr>
    </w:p>
    <w:p>
      <w:pPr>
        <w:rPr>
          <w:rFonts w:hint="eastAsia" w:ascii="宋体" w:hAnsi="宋体"/>
          <w:color w:val="auto"/>
          <w:sz w:val="44"/>
          <w:szCs w:val="44"/>
        </w:rPr>
      </w:pPr>
    </w:p>
    <w:p>
      <w:pPr>
        <w:rPr>
          <w:color w:val="auto"/>
        </w:rPr>
      </w:pPr>
    </w:p>
    <w:p>
      <w:pPr>
        <w:rPr>
          <w:color w:val="auto"/>
        </w:rPr>
      </w:pPr>
    </w:p>
    <w:p>
      <w:pPr>
        <w:tabs>
          <w:tab w:val="left" w:pos="1140"/>
        </w:tabs>
        <w:rPr>
          <w:rFonts w:hint="eastAsia" w:ascii="Arial" w:hAnsi="Arial"/>
          <w:color w:val="auto"/>
          <w:sz w:val="32"/>
        </w:rPr>
      </w:pPr>
    </w:p>
    <w:p>
      <w:pPr>
        <w:tabs>
          <w:tab w:val="left" w:pos="1140"/>
        </w:tabs>
        <w:rPr>
          <w:rFonts w:ascii="Arial" w:hAnsi="Arial"/>
          <w:color w:val="auto"/>
          <w:sz w:val="32"/>
        </w:rPr>
      </w:pPr>
    </w:p>
    <w:p>
      <w:pPr>
        <w:tabs>
          <w:tab w:val="left" w:pos="1140"/>
        </w:tabs>
        <w:rPr>
          <w:rFonts w:ascii="Arial" w:hAnsi="Arial"/>
          <w:color w:val="auto"/>
          <w:sz w:val="32"/>
        </w:rPr>
      </w:pPr>
    </w:p>
    <w:p>
      <w:pPr>
        <w:spacing w:line="360" w:lineRule="auto"/>
        <w:ind w:firstLine="1066" w:firstLineChars="295"/>
        <w:rPr>
          <w:rFonts w:hint="eastAsia" w:ascii="黑体" w:hAnsi="Arial" w:eastAsia="黑体" w:cs="Arial"/>
          <w:b/>
          <w:color w:val="auto"/>
          <w:sz w:val="36"/>
          <w:szCs w:val="36"/>
          <w:u w:val="single"/>
        </w:rPr>
      </w:pPr>
      <w:r>
        <w:rPr>
          <w:rFonts w:hint="eastAsia" w:ascii="黑体" w:hAnsi="宋体" w:eastAsia="黑体"/>
          <w:b/>
          <w:color w:val="auto"/>
          <w:sz w:val="36"/>
          <w:szCs w:val="36"/>
        </w:rPr>
        <w:t>询价编号：</w:t>
      </w:r>
      <w:r>
        <w:rPr>
          <w:rFonts w:hint="eastAsia" w:ascii="黑体" w:hAnsi="Arial" w:eastAsia="黑体" w:cs="Arial"/>
          <w:b/>
          <w:color w:val="auto"/>
          <w:sz w:val="36"/>
          <w:szCs w:val="36"/>
          <w:u w:val="single"/>
        </w:rPr>
        <w:t xml:space="preserve">                           </w:t>
      </w:r>
    </w:p>
    <w:p>
      <w:pPr>
        <w:spacing w:line="360" w:lineRule="auto"/>
        <w:ind w:firstLine="1066" w:firstLineChars="295"/>
        <w:rPr>
          <w:rFonts w:hint="eastAsia" w:ascii="黑体" w:hAnsi="宋体" w:eastAsia="黑体"/>
          <w:b/>
          <w:color w:val="auto"/>
          <w:sz w:val="36"/>
          <w:szCs w:val="36"/>
          <w:u w:val="single"/>
        </w:rPr>
      </w:pPr>
      <w:r>
        <w:rPr>
          <w:rFonts w:hint="eastAsia" w:ascii="黑体" w:hAnsi="宋体" w:eastAsia="黑体"/>
          <w:b/>
          <w:color w:val="auto"/>
          <w:sz w:val="36"/>
          <w:szCs w:val="36"/>
        </w:rPr>
        <w:t>项目名称：</w:t>
      </w:r>
      <w:r>
        <w:rPr>
          <w:rFonts w:hint="eastAsia" w:ascii="黑体" w:hAnsi="黑体" w:eastAsia="黑体" w:cs="黑体"/>
          <w:b/>
          <w:color w:val="auto"/>
          <w:sz w:val="36"/>
          <w:szCs w:val="36"/>
          <w:u w:val="single"/>
        </w:rPr>
        <w:t xml:space="preserve"> </w:t>
      </w:r>
      <w:r>
        <w:rPr>
          <w:rFonts w:hint="eastAsia" w:ascii="黑体" w:hAnsi="黑体" w:eastAsia="黑体" w:cs="黑体"/>
          <w:b/>
          <w:color w:val="auto"/>
          <w:sz w:val="30"/>
          <w:szCs w:val="30"/>
          <w:u w:val="single"/>
          <w:lang w:val="en-US" w:eastAsia="zh-CN"/>
        </w:rPr>
        <w:t>工</w:t>
      </w:r>
      <w:r>
        <w:rPr>
          <w:rFonts w:hint="eastAsia" w:ascii="黑体" w:hAnsi="黑体" w:eastAsia="黑体" w:cs="黑体"/>
          <w:color w:val="auto"/>
          <w:sz w:val="30"/>
          <w:szCs w:val="30"/>
          <w:u w:val="single"/>
          <w:lang w:val="en-US" w:eastAsia="zh-CN"/>
        </w:rPr>
        <w:t>艺美术/美术设计与制作专业画室的升级改造</w:t>
      </w:r>
      <w:r>
        <w:rPr>
          <w:rFonts w:hint="eastAsia" w:ascii="黑体" w:hAnsi="宋体" w:eastAsia="黑体"/>
          <w:b/>
          <w:color w:val="auto"/>
          <w:sz w:val="30"/>
          <w:szCs w:val="30"/>
          <w:u w:val="single"/>
        </w:rPr>
        <w:t xml:space="preserve"> </w:t>
      </w:r>
    </w:p>
    <w:p>
      <w:pPr>
        <w:rPr>
          <w:rFonts w:hint="eastAsia"/>
          <w:color w:val="auto"/>
          <w:sz w:val="24"/>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color w:val="auto"/>
        </w:rPr>
      </w:pPr>
    </w:p>
    <w:p>
      <w:pPr>
        <w:rPr>
          <w:rFonts w:hint="eastAsia" w:ascii="楷体_GB2312" w:hAnsi="宋体" w:eastAsia="楷体_GB2312"/>
          <w:color w:val="auto"/>
          <w:sz w:val="36"/>
        </w:rPr>
      </w:pPr>
    </w:p>
    <w:p>
      <w:pPr>
        <w:rPr>
          <w:rFonts w:hint="eastAsia" w:ascii="楷体_GB2312" w:hAnsi="宋体" w:eastAsia="楷体_GB2312"/>
          <w:color w:val="auto"/>
          <w:sz w:val="36"/>
        </w:rPr>
      </w:pPr>
    </w:p>
    <w:p>
      <w:pPr>
        <w:jc w:val="center"/>
        <w:rPr>
          <w:rFonts w:hint="eastAsia" w:ascii="黑体" w:hAnsi="宋体" w:eastAsia="黑体"/>
          <w:b/>
          <w:color w:val="auto"/>
          <w:sz w:val="36"/>
          <w:szCs w:val="36"/>
        </w:rPr>
      </w:pPr>
      <w:r>
        <w:rPr>
          <w:rFonts w:hint="eastAsia" w:ascii="黑体" w:hAnsi="宋体" w:eastAsia="黑体"/>
          <w:b/>
          <w:color w:val="auto"/>
          <w:sz w:val="36"/>
          <w:szCs w:val="36"/>
        </w:rPr>
        <w:t>福建省晋江华侨职业中专学校</w:t>
      </w:r>
    </w:p>
    <w:p>
      <w:pPr>
        <w:spacing w:line="360" w:lineRule="exact"/>
        <w:jc w:val="center"/>
        <w:rPr>
          <w:rFonts w:hint="eastAsia" w:ascii="黑体" w:hAnsi="宋体" w:eastAsia="黑体"/>
          <w:b/>
          <w:color w:val="auto"/>
          <w:sz w:val="36"/>
          <w:szCs w:val="36"/>
        </w:rPr>
      </w:pPr>
      <w:r>
        <w:rPr>
          <w:rFonts w:hint="eastAsia" w:ascii="黑体" w:hAnsi="宋体" w:eastAsia="黑体"/>
          <w:b/>
          <w:color w:val="auto"/>
          <w:sz w:val="36"/>
          <w:szCs w:val="36"/>
          <w:u w:val="single"/>
        </w:rPr>
        <w:t xml:space="preserve"> </w:t>
      </w:r>
      <w:r>
        <w:rPr>
          <w:rFonts w:hint="eastAsia" w:ascii="黑体" w:hAnsi="宋体" w:eastAsia="黑体"/>
          <w:b/>
          <w:color w:val="auto"/>
          <w:sz w:val="36"/>
          <w:szCs w:val="36"/>
          <w:u w:val="single"/>
          <w:lang w:val="en-US" w:eastAsia="zh-CN"/>
        </w:rPr>
        <w:t>2024</w:t>
      </w:r>
      <w:r>
        <w:rPr>
          <w:rFonts w:hint="eastAsia" w:ascii="黑体" w:hAnsi="宋体" w:eastAsia="黑体"/>
          <w:b/>
          <w:color w:val="auto"/>
          <w:sz w:val="36"/>
          <w:szCs w:val="36"/>
          <w:u w:val="single"/>
        </w:rPr>
        <w:t xml:space="preserve"> </w:t>
      </w:r>
      <w:r>
        <w:rPr>
          <w:rFonts w:hint="eastAsia" w:ascii="黑体" w:hAnsi="宋体" w:eastAsia="黑体"/>
          <w:b/>
          <w:color w:val="auto"/>
          <w:sz w:val="36"/>
          <w:szCs w:val="36"/>
        </w:rPr>
        <w:t>年</w:t>
      </w:r>
      <w:r>
        <w:rPr>
          <w:rFonts w:hint="eastAsia" w:ascii="黑体" w:hAnsi="宋体" w:eastAsia="黑体"/>
          <w:b/>
          <w:color w:val="auto"/>
          <w:sz w:val="36"/>
          <w:szCs w:val="36"/>
          <w:u w:val="single"/>
        </w:rPr>
        <w:t xml:space="preserve"> </w:t>
      </w:r>
      <w:r>
        <w:rPr>
          <w:rFonts w:hint="eastAsia" w:ascii="黑体" w:hAnsi="宋体" w:eastAsia="黑体"/>
          <w:b/>
          <w:color w:val="auto"/>
          <w:sz w:val="36"/>
          <w:szCs w:val="36"/>
          <w:u w:val="single"/>
          <w:lang w:val="en-US" w:eastAsia="zh-CN"/>
        </w:rPr>
        <w:t>01</w:t>
      </w:r>
      <w:bookmarkStart w:id="8" w:name="_GoBack"/>
      <w:bookmarkEnd w:id="8"/>
      <w:r>
        <w:rPr>
          <w:rFonts w:hint="eastAsia" w:ascii="黑体" w:hAnsi="宋体" w:eastAsia="黑体"/>
          <w:b/>
          <w:color w:val="auto"/>
          <w:sz w:val="36"/>
          <w:szCs w:val="36"/>
          <w:u w:val="single"/>
        </w:rPr>
        <w:t xml:space="preserve"> </w:t>
      </w:r>
      <w:r>
        <w:rPr>
          <w:rFonts w:hint="eastAsia" w:ascii="黑体" w:hAnsi="宋体" w:eastAsia="黑体"/>
          <w:b/>
          <w:color w:val="auto"/>
          <w:sz w:val="36"/>
          <w:szCs w:val="36"/>
        </w:rPr>
        <w:t>月</w:t>
      </w:r>
    </w:p>
    <w:p>
      <w:pPr>
        <w:spacing w:line="360" w:lineRule="exact"/>
        <w:rPr>
          <w:rFonts w:hint="eastAsia"/>
          <w:b/>
          <w:color w:val="auto"/>
          <w:spacing w:val="400"/>
          <w:sz w:val="30"/>
          <w:szCs w:val="30"/>
        </w:rPr>
      </w:pPr>
    </w:p>
    <w:p>
      <w:pPr>
        <w:spacing w:line="360" w:lineRule="exact"/>
        <w:rPr>
          <w:rFonts w:hint="eastAsia"/>
          <w:b/>
          <w:color w:val="auto"/>
          <w:spacing w:val="400"/>
          <w:sz w:val="30"/>
          <w:szCs w:val="30"/>
        </w:rPr>
      </w:pPr>
    </w:p>
    <w:p>
      <w:pPr>
        <w:spacing w:line="360" w:lineRule="exact"/>
        <w:rPr>
          <w:rFonts w:hint="eastAsia"/>
          <w:b/>
          <w:color w:val="auto"/>
          <w:spacing w:val="400"/>
          <w:sz w:val="30"/>
          <w:szCs w:val="30"/>
        </w:rPr>
      </w:pPr>
    </w:p>
    <w:p>
      <w:pPr>
        <w:pStyle w:val="2"/>
        <w:spacing w:before="120" w:after="120" w:line="400" w:lineRule="exact"/>
        <w:jc w:val="center"/>
        <w:rPr>
          <w:rFonts w:hint="eastAsia" w:ascii="宋体" w:hAnsi="宋体" w:eastAsia="宋体"/>
          <w:color w:val="auto"/>
          <w:szCs w:val="32"/>
        </w:rPr>
      </w:pPr>
      <w:bookmarkStart w:id="0" w:name="_Toc445282725"/>
      <w:bookmarkStart w:id="1" w:name="_Toc134733479"/>
      <w:r>
        <w:rPr>
          <w:rFonts w:hint="eastAsia"/>
          <w:color w:val="auto"/>
        </w:rPr>
        <w:t>第一章    询价邀请</w:t>
      </w:r>
      <w:bookmarkEnd w:id="0"/>
      <w:bookmarkEnd w:id="1"/>
    </w:p>
    <w:p>
      <w:pPr>
        <w:spacing w:line="400" w:lineRule="exact"/>
        <w:jc w:val="center"/>
        <w:rPr>
          <w:b/>
          <w:color w:val="auto"/>
          <w:sz w:val="28"/>
          <w:szCs w:val="28"/>
        </w:rPr>
      </w:pPr>
    </w:p>
    <w:p>
      <w:pPr>
        <w:adjustRightInd w:val="0"/>
        <w:snapToGrid w:val="0"/>
        <w:spacing w:before="312" w:beforeLines="100" w:line="400" w:lineRule="atLeast"/>
        <w:ind w:firstLine="480" w:firstLineChars="200"/>
        <w:rPr>
          <w:rFonts w:ascii="宋体" w:hAnsi="宋体"/>
          <w:color w:val="auto"/>
          <w:sz w:val="24"/>
          <w:szCs w:val="22"/>
        </w:rPr>
      </w:pPr>
      <w:r>
        <w:rPr>
          <w:rFonts w:hint="eastAsia" w:ascii="宋体" w:hAnsi="宋体"/>
          <w:color w:val="auto"/>
          <w:sz w:val="24"/>
          <w:u w:val="single"/>
        </w:rPr>
        <w:t>福建省晋江华侨职业中专学校</w:t>
      </w:r>
      <w:r>
        <w:rPr>
          <w:rFonts w:hint="eastAsia" w:ascii="宋体" w:hAnsi="宋体"/>
          <w:color w:val="auto"/>
          <w:sz w:val="24"/>
        </w:rPr>
        <w:t>对</w:t>
      </w:r>
      <w:r>
        <w:rPr>
          <w:rFonts w:hint="eastAsia"/>
          <w:b/>
          <w:color w:val="auto"/>
          <w:sz w:val="28"/>
          <w:szCs w:val="28"/>
          <w:u w:val="single"/>
          <w:shd w:val="clear" w:color="auto" w:fill="auto"/>
          <w:lang w:val="en-US" w:eastAsia="zh-CN"/>
        </w:rPr>
        <w:t>专业画室升级改造</w:t>
      </w:r>
      <w:r>
        <w:rPr>
          <w:rFonts w:hint="eastAsia"/>
          <w:b/>
          <w:color w:val="auto"/>
          <w:sz w:val="28"/>
          <w:szCs w:val="28"/>
          <w:u w:val="single"/>
          <w:shd w:val="clear" w:color="auto" w:fill="auto"/>
        </w:rPr>
        <w:t>采购项目</w:t>
      </w:r>
      <w:r>
        <w:rPr>
          <w:rFonts w:hint="eastAsia" w:ascii="宋体" w:hAnsi="宋体"/>
          <w:color w:val="auto"/>
          <w:sz w:val="24"/>
        </w:rPr>
        <w:t>进行公开询价，现邀请符合资格条件的供应商前来报价。</w:t>
      </w:r>
    </w:p>
    <w:p>
      <w:pPr>
        <w:adjustRightInd w:val="0"/>
        <w:snapToGrid w:val="0"/>
        <w:spacing w:line="400" w:lineRule="atLeast"/>
        <w:ind w:firstLine="480" w:firstLineChars="200"/>
        <w:rPr>
          <w:rFonts w:ascii="宋体" w:hAnsi="宋体"/>
          <w:color w:val="auto"/>
          <w:sz w:val="24"/>
        </w:rPr>
      </w:pPr>
      <w:r>
        <w:rPr>
          <w:rFonts w:hint="eastAsia" w:ascii="宋体" w:hAnsi="宋体"/>
          <w:color w:val="auto"/>
          <w:sz w:val="24"/>
        </w:rPr>
        <w:t>一、询价项目名称、数量、规格型号、服务、技术指标等：详见“</w:t>
      </w:r>
      <w:r>
        <w:rPr>
          <w:rFonts w:hint="eastAsia" w:ascii="宋体" w:hAnsi="宋体"/>
          <w:b/>
          <w:bCs/>
          <w:color w:val="auto"/>
          <w:sz w:val="28"/>
          <w:szCs w:val="28"/>
          <w:u w:val="single"/>
          <w:lang w:val="en-US" w:eastAsia="zh-CN"/>
        </w:rPr>
        <w:t>专</w:t>
      </w:r>
      <w:r>
        <w:rPr>
          <w:rFonts w:hint="eastAsia"/>
          <w:b/>
          <w:color w:val="auto"/>
          <w:sz w:val="28"/>
          <w:szCs w:val="28"/>
          <w:u w:val="single"/>
          <w:shd w:val="clear" w:color="auto" w:fill="auto"/>
          <w:lang w:val="en-US" w:eastAsia="zh-CN"/>
        </w:rPr>
        <w:t>业画室升级改造</w:t>
      </w:r>
      <w:r>
        <w:rPr>
          <w:rFonts w:hint="eastAsia"/>
          <w:b/>
          <w:color w:val="auto"/>
          <w:sz w:val="28"/>
          <w:szCs w:val="28"/>
          <w:u w:val="single"/>
        </w:rPr>
        <w:t>采购项目</w:t>
      </w:r>
      <w:r>
        <w:rPr>
          <w:rFonts w:hint="eastAsia" w:ascii="宋体" w:hAnsi="宋体"/>
          <w:color w:val="auto"/>
          <w:sz w:val="24"/>
        </w:rPr>
        <w:t>一览表”（见附件）。</w:t>
      </w:r>
    </w:p>
    <w:p>
      <w:pPr>
        <w:adjustRightInd w:val="0"/>
        <w:snapToGrid w:val="0"/>
        <w:spacing w:line="400" w:lineRule="atLeast"/>
        <w:ind w:firstLine="480" w:firstLineChars="200"/>
        <w:rPr>
          <w:rFonts w:ascii="宋体" w:hAnsi="宋体"/>
          <w:color w:val="auto"/>
          <w:sz w:val="24"/>
        </w:rPr>
      </w:pPr>
      <w:r>
        <w:rPr>
          <w:rFonts w:hint="eastAsia" w:ascii="宋体" w:hAnsi="宋体"/>
          <w:color w:val="auto"/>
          <w:sz w:val="24"/>
        </w:rPr>
        <w:t>二、 报价人的要求：符合《中华人民共和国政府采购法》第二十二条规定条件；报价人应具有本次询价货物或服务的经营范围,并在工商、税务机关登记注册；为保证能及时响应需求，泉州地区以外的报价人必须在泉州地区境内设有分公司；本项目不接受联合体报价。</w:t>
      </w:r>
    </w:p>
    <w:p>
      <w:pPr>
        <w:adjustRightInd w:val="0"/>
        <w:snapToGrid w:val="0"/>
        <w:spacing w:line="400" w:lineRule="atLeast"/>
        <w:ind w:firstLine="480" w:firstLineChars="200"/>
        <w:rPr>
          <w:rFonts w:ascii="宋体" w:hAnsi="宋体"/>
          <w:color w:val="auto"/>
          <w:sz w:val="24"/>
        </w:rPr>
      </w:pPr>
      <w:r>
        <w:rPr>
          <w:rFonts w:hint="eastAsia" w:ascii="宋体" w:hAnsi="宋体"/>
          <w:color w:val="auto"/>
          <w:sz w:val="24"/>
        </w:rPr>
        <w:t>三、报名时间和地点:凡愿意接受邀请参加询价的供应商于</w:t>
      </w:r>
      <w:r>
        <w:rPr>
          <w:rFonts w:hint="eastAsia"/>
          <w:b/>
          <w:color w:val="auto"/>
          <w:sz w:val="28"/>
          <w:szCs w:val="28"/>
          <w:u w:val="single"/>
          <w:lang w:val="en-US" w:eastAsia="zh-CN"/>
        </w:rPr>
        <w:t>2024</w:t>
      </w:r>
      <w:r>
        <w:rPr>
          <w:rFonts w:hint="eastAsia"/>
          <w:b/>
          <w:color w:val="auto"/>
          <w:sz w:val="28"/>
          <w:szCs w:val="28"/>
          <w:u w:val="single"/>
        </w:rPr>
        <w:t>年</w:t>
      </w:r>
      <w:r>
        <w:rPr>
          <w:rFonts w:hint="eastAsia"/>
          <w:b/>
          <w:color w:val="auto"/>
          <w:sz w:val="28"/>
          <w:szCs w:val="28"/>
          <w:u w:val="single"/>
          <w:lang w:val="en-US" w:eastAsia="zh-CN"/>
        </w:rPr>
        <w:t>01</w:t>
      </w:r>
      <w:r>
        <w:rPr>
          <w:rFonts w:hint="eastAsia"/>
          <w:b/>
          <w:color w:val="auto"/>
          <w:sz w:val="28"/>
          <w:szCs w:val="28"/>
          <w:u w:val="single"/>
        </w:rPr>
        <w:t>月</w:t>
      </w:r>
      <w:r>
        <w:rPr>
          <w:rFonts w:hint="eastAsia"/>
          <w:b/>
          <w:color w:val="auto"/>
          <w:sz w:val="28"/>
          <w:szCs w:val="28"/>
          <w:u w:val="single"/>
          <w:lang w:val="en-US" w:eastAsia="zh-CN"/>
        </w:rPr>
        <w:t>17</w:t>
      </w:r>
      <w:r>
        <w:rPr>
          <w:rFonts w:hint="eastAsia"/>
          <w:b/>
          <w:color w:val="auto"/>
          <w:sz w:val="28"/>
          <w:szCs w:val="28"/>
          <w:u w:val="single"/>
        </w:rPr>
        <w:t>日</w:t>
      </w:r>
      <w:r>
        <w:rPr>
          <w:rFonts w:hint="eastAsia" w:ascii="宋体" w:hAnsi="宋体"/>
          <w:color w:val="auto"/>
          <w:sz w:val="24"/>
        </w:rPr>
        <w:t>至</w:t>
      </w:r>
      <w:r>
        <w:rPr>
          <w:rFonts w:hint="eastAsia"/>
          <w:b/>
          <w:color w:val="auto"/>
          <w:sz w:val="28"/>
          <w:szCs w:val="28"/>
          <w:u w:val="single"/>
          <w:lang w:val="en-US" w:eastAsia="zh-CN"/>
        </w:rPr>
        <w:t>2024</w:t>
      </w:r>
      <w:r>
        <w:rPr>
          <w:rFonts w:hint="eastAsia"/>
          <w:b/>
          <w:color w:val="auto"/>
          <w:sz w:val="28"/>
          <w:szCs w:val="28"/>
          <w:u w:val="single"/>
        </w:rPr>
        <w:t>年</w:t>
      </w:r>
      <w:r>
        <w:rPr>
          <w:rFonts w:hint="eastAsia"/>
          <w:b/>
          <w:color w:val="auto"/>
          <w:sz w:val="28"/>
          <w:szCs w:val="28"/>
          <w:u w:val="single"/>
          <w:lang w:val="en-US" w:eastAsia="zh-CN"/>
        </w:rPr>
        <w:t>01</w:t>
      </w:r>
      <w:r>
        <w:rPr>
          <w:rFonts w:hint="eastAsia"/>
          <w:b/>
          <w:color w:val="auto"/>
          <w:sz w:val="28"/>
          <w:szCs w:val="28"/>
          <w:u w:val="single"/>
        </w:rPr>
        <w:t>月</w:t>
      </w:r>
      <w:r>
        <w:rPr>
          <w:rFonts w:hint="eastAsia"/>
          <w:b/>
          <w:color w:val="auto"/>
          <w:sz w:val="28"/>
          <w:szCs w:val="28"/>
          <w:u w:val="single"/>
          <w:lang w:val="en-US" w:eastAsia="zh-CN"/>
        </w:rPr>
        <w:t>21</w:t>
      </w:r>
      <w:r>
        <w:rPr>
          <w:rFonts w:hint="eastAsia"/>
          <w:b/>
          <w:color w:val="auto"/>
          <w:sz w:val="28"/>
          <w:szCs w:val="28"/>
          <w:u w:val="single"/>
        </w:rPr>
        <w:t>日</w:t>
      </w:r>
      <w:r>
        <w:rPr>
          <w:rFonts w:hint="eastAsia" w:ascii="宋体" w:hAnsi="宋体"/>
          <w:color w:val="auto"/>
          <w:sz w:val="24"/>
        </w:rPr>
        <w:t>在晋江华侨职业中专学校网（http://www.jjhqzx.cn/→校园新闻）上查看，请有意向的潜在报价人派人于</w:t>
      </w:r>
      <w:r>
        <w:rPr>
          <w:rFonts w:hint="eastAsia"/>
          <w:b/>
          <w:color w:val="auto"/>
          <w:sz w:val="28"/>
          <w:szCs w:val="28"/>
          <w:u w:val="single"/>
          <w:lang w:val="en-US" w:eastAsia="zh-CN"/>
        </w:rPr>
        <w:t>2024</w:t>
      </w:r>
      <w:r>
        <w:rPr>
          <w:rFonts w:hint="eastAsia"/>
          <w:b/>
          <w:color w:val="auto"/>
          <w:sz w:val="28"/>
          <w:szCs w:val="28"/>
          <w:u w:val="single"/>
        </w:rPr>
        <w:t>年</w:t>
      </w:r>
      <w:r>
        <w:rPr>
          <w:rFonts w:hint="eastAsia"/>
          <w:b/>
          <w:color w:val="auto"/>
          <w:sz w:val="28"/>
          <w:szCs w:val="28"/>
          <w:u w:val="single"/>
          <w:lang w:val="en-US" w:eastAsia="zh-CN"/>
        </w:rPr>
        <w:t>01</w:t>
      </w:r>
      <w:r>
        <w:rPr>
          <w:rFonts w:hint="eastAsia"/>
          <w:b/>
          <w:color w:val="auto"/>
          <w:sz w:val="28"/>
          <w:szCs w:val="28"/>
          <w:u w:val="single"/>
        </w:rPr>
        <w:t>月</w:t>
      </w:r>
      <w:r>
        <w:rPr>
          <w:rFonts w:hint="eastAsia"/>
          <w:b/>
          <w:color w:val="auto"/>
          <w:sz w:val="28"/>
          <w:szCs w:val="28"/>
          <w:u w:val="single"/>
          <w:lang w:val="en-US" w:eastAsia="zh-CN"/>
        </w:rPr>
        <w:t>22</w:t>
      </w:r>
      <w:r>
        <w:rPr>
          <w:rFonts w:hint="eastAsia"/>
          <w:b/>
          <w:color w:val="auto"/>
          <w:sz w:val="28"/>
          <w:szCs w:val="28"/>
          <w:u w:val="single"/>
        </w:rPr>
        <w:t>日上午</w:t>
      </w:r>
      <w:r>
        <w:rPr>
          <w:rFonts w:hint="eastAsia"/>
          <w:b/>
          <w:color w:val="auto"/>
          <w:sz w:val="28"/>
          <w:szCs w:val="28"/>
          <w:u w:val="single"/>
          <w:lang w:val="en-US" w:eastAsia="zh-CN"/>
        </w:rPr>
        <w:t>09</w:t>
      </w:r>
      <w:r>
        <w:rPr>
          <w:rFonts w:hint="eastAsia"/>
          <w:b/>
          <w:color w:val="auto"/>
          <w:sz w:val="28"/>
          <w:szCs w:val="28"/>
          <w:u w:val="single"/>
        </w:rPr>
        <w:t>:</w:t>
      </w:r>
      <w:r>
        <w:rPr>
          <w:rFonts w:hint="eastAsia"/>
          <w:b/>
          <w:color w:val="auto"/>
          <w:sz w:val="28"/>
          <w:szCs w:val="28"/>
          <w:u w:val="single"/>
          <w:lang w:val="en-US" w:eastAsia="zh-CN"/>
        </w:rPr>
        <w:t>00</w:t>
      </w:r>
      <w:r>
        <w:rPr>
          <w:rFonts w:hint="eastAsia"/>
          <w:b/>
          <w:color w:val="auto"/>
          <w:sz w:val="28"/>
          <w:szCs w:val="28"/>
          <w:u w:val="single"/>
        </w:rPr>
        <w:t>-</w:t>
      </w:r>
      <w:r>
        <w:rPr>
          <w:rFonts w:hint="eastAsia"/>
          <w:b/>
          <w:color w:val="auto"/>
          <w:sz w:val="28"/>
          <w:szCs w:val="28"/>
          <w:u w:val="single"/>
          <w:lang w:val="en-US" w:eastAsia="zh-CN"/>
        </w:rPr>
        <w:t>11</w:t>
      </w:r>
      <w:r>
        <w:rPr>
          <w:rFonts w:hint="eastAsia"/>
          <w:b/>
          <w:color w:val="auto"/>
          <w:sz w:val="28"/>
          <w:szCs w:val="28"/>
          <w:u w:val="single"/>
        </w:rPr>
        <w:t>:</w:t>
      </w:r>
      <w:r>
        <w:rPr>
          <w:rFonts w:hint="eastAsia"/>
          <w:b/>
          <w:color w:val="auto"/>
          <w:sz w:val="28"/>
          <w:szCs w:val="28"/>
          <w:u w:val="single"/>
          <w:lang w:val="en-US" w:eastAsia="zh-CN"/>
        </w:rPr>
        <w:t>00</w:t>
      </w:r>
      <w:r>
        <w:rPr>
          <w:rFonts w:hint="eastAsia" w:ascii="宋体" w:hAnsi="宋体"/>
          <w:color w:val="auto"/>
          <w:sz w:val="24"/>
        </w:rPr>
        <w:t>（北京时间）到晋江华侨职业中专学校</w:t>
      </w:r>
      <w:r>
        <w:rPr>
          <w:rFonts w:hint="eastAsia"/>
          <w:b/>
          <w:color w:val="auto"/>
          <w:sz w:val="28"/>
          <w:szCs w:val="28"/>
          <w:u w:val="single"/>
          <w:lang w:val="en-US" w:eastAsia="zh-CN"/>
        </w:rPr>
        <w:t>教研</w:t>
      </w:r>
      <w:r>
        <w:rPr>
          <w:rFonts w:hint="eastAsia"/>
          <w:b/>
          <w:color w:val="auto"/>
          <w:sz w:val="28"/>
          <w:szCs w:val="28"/>
          <w:u w:val="single"/>
        </w:rPr>
        <w:t>处</w:t>
      </w:r>
      <w:r>
        <w:rPr>
          <w:rFonts w:hint="eastAsia" w:ascii="宋体" w:hAnsi="宋体"/>
          <w:color w:val="auto"/>
          <w:sz w:val="24"/>
        </w:rPr>
        <w:t>报名、递交报价材料。</w:t>
      </w:r>
    </w:p>
    <w:p>
      <w:pPr>
        <w:adjustRightInd w:val="0"/>
        <w:snapToGrid w:val="0"/>
        <w:spacing w:line="400" w:lineRule="atLeast"/>
        <w:ind w:firstLine="480" w:firstLineChars="200"/>
        <w:rPr>
          <w:rFonts w:ascii="宋体" w:hAnsi="宋体"/>
          <w:color w:val="auto"/>
          <w:sz w:val="24"/>
        </w:rPr>
      </w:pPr>
      <w:r>
        <w:rPr>
          <w:rFonts w:hint="eastAsia" w:ascii="宋体" w:hAnsi="宋体"/>
          <w:color w:val="auto"/>
          <w:sz w:val="24"/>
        </w:rPr>
        <w:t>四、报价材料组成和密封（相关文本格式见附件询价文件）</w:t>
      </w:r>
    </w:p>
    <w:p>
      <w:pPr>
        <w:adjustRightInd w:val="0"/>
        <w:snapToGrid w:val="0"/>
        <w:spacing w:line="400" w:lineRule="atLeast"/>
        <w:ind w:firstLine="480" w:firstLineChars="200"/>
        <w:rPr>
          <w:rFonts w:ascii="宋体" w:hAnsi="宋体"/>
          <w:color w:val="auto"/>
          <w:sz w:val="24"/>
        </w:rPr>
      </w:pPr>
      <w:r>
        <w:rPr>
          <w:rFonts w:hint="eastAsia" w:ascii="宋体" w:hAnsi="宋体"/>
          <w:color w:val="auto"/>
          <w:sz w:val="24"/>
        </w:rPr>
        <w:t>（一）报价书[报价应包括：设备价（包括硬件、软件）、运至合同指定地点的运输费、安装费（包括损耗、额外材料等）、保险费、安装、技术培训费、各种税费及相关招投标代理费等]。</w:t>
      </w:r>
    </w:p>
    <w:p>
      <w:pPr>
        <w:adjustRightInd w:val="0"/>
        <w:snapToGrid w:val="0"/>
        <w:spacing w:line="400" w:lineRule="atLeast"/>
        <w:ind w:firstLine="480" w:firstLineChars="200"/>
        <w:rPr>
          <w:rFonts w:ascii="宋体" w:hAnsi="宋体"/>
          <w:color w:val="auto"/>
          <w:sz w:val="24"/>
        </w:rPr>
      </w:pPr>
      <w:r>
        <w:rPr>
          <w:rFonts w:hint="eastAsia" w:ascii="宋体" w:hAnsi="宋体"/>
          <w:color w:val="auto"/>
          <w:sz w:val="24"/>
        </w:rPr>
        <w:t>（二）报价清单表</w:t>
      </w:r>
    </w:p>
    <w:p>
      <w:pPr>
        <w:adjustRightInd w:val="0"/>
        <w:snapToGrid w:val="0"/>
        <w:spacing w:line="400" w:lineRule="atLeast"/>
        <w:ind w:firstLine="480" w:firstLineChars="200"/>
        <w:rPr>
          <w:rFonts w:ascii="宋体" w:hAnsi="宋体"/>
          <w:color w:val="auto"/>
          <w:sz w:val="24"/>
        </w:rPr>
      </w:pPr>
      <w:r>
        <w:rPr>
          <w:rFonts w:hint="eastAsia" w:ascii="宋体" w:hAnsi="宋体"/>
          <w:color w:val="auto"/>
          <w:sz w:val="24"/>
        </w:rPr>
        <w:t>（三）经年检合格的法人营业执照副本复印件、税务登记证（</w:t>
      </w:r>
      <w:r>
        <w:rPr>
          <w:rFonts w:hint="eastAsia" w:ascii="宋体" w:hAnsi="宋体"/>
          <w:bCs/>
          <w:color w:val="auto"/>
          <w:sz w:val="24"/>
        </w:rPr>
        <w:t>三证合一的除外</w:t>
      </w:r>
      <w:r>
        <w:rPr>
          <w:rFonts w:hint="eastAsia" w:ascii="宋体" w:hAnsi="宋体"/>
          <w:color w:val="auto"/>
          <w:sz w:val="24"/>
        </w:rPr>
        <w:t>）复印件（特种设备还要提供企业生产或销售许可证复印件），并加盖单位公章。</w:t>
      </w:r>
    </w:p>
    <w:p>
      <w:pPr>
        <w:adjustRightInd w:val="0"/>
        <w:snapToGrid w:val="0"/>
        <w:spacing w:line="400" w:lineRule="atLeast"/>
        <w:ind w:firstLine="480" w:firstLineChars="200"/>
        <w:rPr>
          <w:rFonts w:ascii="宋体" w:hAnsi="宋体"/>
          <w:color w:val="auto"/>
          <w:sz w:val="24"/>
        </w:rPr>
      </w:pPr>
      <w:r>
        <w:rPr>
          <w:rFonts w:hint="eastAsia" w:ascii="宋体" w:hAnsi="宋体"/>
          <w:color w:val="auto"/>
          <w:sz w:val="24"/>
        </w:rPr>
        <w:t>（四）报价人应将报价文件密封在包封袋中，包封袋上应写明本报价项目名称和报价人单位名称，包封袋的密封处应加盖报价单位公章及法定代表人（或委托代理人）印章。</w:t>
      </w:r>
    </w:p>
    <w:p>
      <w:pPr>
        <w:adjustRightInd w:val="0"/>
        <w:snapToGrid w:val="0"/>
        <w:spacing w:line="400" w:lineRule="atLeast"/>
        <w:ind w:firstLine="480" w:firstLineChars="200"/>
        <w:rPr>
          <w:rFonts w:ascii="宋体" w:hAnsi="宋体"/>
          <w:color w:val="auto"/>
          <w:sz w:val="24"/>
          <w:u w:val="single"/>
        </w:rPr>
      </w:pPr>
      <w:r>
        <w:rPr>
          <w:rFonts w:hint="eastAsia" w:ascii="宋体" w:hAnsi="宋体"/>
          <w:color w:val="auto"/>
          <w:sz w:val="24"/>
        </w:rPr>
        <w:t>五、询价时间：</w:t>
      </w:r>
      <w:r>
        <w:rPr>
          <w:rFonts w:hint="eastAsia" w:ascii="宋体" w:hAnsi="宋体"/>
          <w:color w:val="auto"/>
          <w:sz w:val="24"/>
          <w:u w:val="single"/>
        </w:rPr>
        <w:t>学校自行安排</w:t>
      </w:r>
    </w:p>
    <w:p>
      <w:pPr>
        <w:adjustRightInd w:val="0"/>
        <w:snapToGrid w:val="0"/>
        <w:spacing w:line="400" w:lineRule="atLeast"/>
        <w:ind w:firstLine="480" w:firstLineChars="200"/>
        <w:rPr>
          <w:rFonts w:ascii="宋体" w:hAnsi="宋体"/>
          <w:color w:val="auto"/>
          <w:sz w:val="24"/>
        </w:rPr>
      </w:pPr>
      <w:r>
        <w:rPr>
          <w:rFonts w:hint="eastAsia" w:ascii="宋体" w:hAnsi="宋体"/>
          <w:color w:val="auto"/>
          <w:sz w:val="24"/>
        </w:rPr>
        <w:t>六、询价结果及公告：询价结果将于学校召开询价讨论会后，在晋江华侨职业中专学校网（http://www.jjhqzx.cn/→校园新闻）上公告。</w:t>
      </w:r>
    </w:p>
    <w:p>
      <w:pPr>
        <w:adjustRightInd w:val="0"/>
        <w:snapToGrid w:val="0"/>
        <w:spacing w:line="400" w:lineRule="atLeast"/>
        <w:ind w:firstLine="480" w:firstLineChars="200"/>
        <w:rPr>
          <w:rFonts w:ascii="宋体" w:hAnsi="宋体"/>
          <w:color w:val="auto"/>
          <w:sz w:val="24"/>
        </w:rPr>
      </w:pPr>
      <w:r>
        <w:rPr>
          <w:rFonts w:hint="eastAsia" w:ascii="宋体" w:hAnsi="宋体"/>
          <w:color w:val="auto"/>
          <w:sz w:val="24"/>
        </w:rPr>
        <w:t>七、联系方式</w:t>
      </w:r>
    </w:p>
    <w:p>
      <w:pPr>
        <w:adjustRightInd w:val="0"/>
        <w:snapToGrid w:val="0"/>
        <w:spacing w:line="400" w:lineRule="atLeast"/>
        <w:ind w:firstLine="480" w:firstLineChars="200"/>
        <w:rPr>
          <w:rFonts w:ascii="宋体" w:hAnsi="宋体"/>
          <w:color w:val="auto"/>
          <w:sz w:val="24"/>
        </w:rPr>
      </w:pPr>
      <w:r>
        <w:rPr>
          <w:rFonts w:hint="eastAsia" w:ascii="宋体" w:hAnsi="宋体"/>
          <w:color w:val="auto"/>
          <w:sz w:val="24"/>
        </w:rPr>
        <w:t>询价单位：福建省晋江华侨职业中专学校（盖章）</w:t>
      </w:r>
    </w:p>
    <w:p>
      <w:pPr>
        <w:adjustRightInd w:val="0"/>
        <w:snapToGrid w:val="0"/>
        <w:spacing w:line="400" w:lineRule="atLeast"/>
        <w:ind w:firstLine="480" w:firstLineChars="200"/>
        <w:rPr>
          <w:rFonts w:ascii="宋体" w:hAnsi="宋体"/>
          <w:color w:val="auto"/>
          <w:sz w:val="24"/>
        </w:rPr>
      </w:pPr>
      <w:r>
        <w:rPr>
          <w:rFonts w:hint="eastAsia" w:ascii="宋体" w:hAnsi="宋体"/>
          <w:color w:val="auto"/>
          <w:sz w:val="24"/>
        </w:rPr>
        <w:t>地址：福建省晋江市西园街道双龙路463号</w:t>
      </w:r>
    </w:p>
    <w:p>
      <w:pPr>
        <w:adjustRightInd w:val="0"/>
        <w:snapToGrid w:val="0"/>
        <w:spacing w:line="400" w:lineRule="atLeast"/>
        <w:ind w:firstLine="480" w:firstLineChars="200"/>
        <w:rPr>
          <w:rFonts w:hint="default" w:ascii="宋体" w:hAnsi="宋体" w:eastAsia="宋体"/>
          <w:color w:val="auto"/>
          <w:sz w:val="24"/>
          <w:lang w:val="en-US" w:eastAsia="zh-CN"/>
        </w:rPr>
      </w:pPr>
      <w:r>
        <w:rPr>
          <w:rFonts w:hint="eastAsia" w:ascii="宋体" w:hAnsi="宋体"/>
          <w:color w:val="auto"/>
          <w:sz w:val="24"/>
        </w:rPr>
        <w:t>联系人：</w:t>
      </w:r>
      <w:r>
        <w:rPr>
          <w:rFonts w:hint="eastAsia"/>
          <w:b/>
          <w:color w:val="auto"/>
          <w:sz w:val="28"/>
          <w:szCs w:val="28"/>
          <w:u w:val="single"/>
          <w:lang w:val="en-US" w:eastAsia="zh-CN"/>
        </w:rPr>
        <w:t>沈剑祥</w:t>
      </w:r>
      <w:r>
        <w:rPr>
          <w:rFonts w:hint="eastAsia" w:ascii="宋体" w:hAnsi="宋体"/>
          <w:color w:val="auto"/>
          <w:sz w:val="24"/>
        </w:rPr>
        <w:t>，电话：</w:t>
      </w:r>
      <w:r>
        <w:rPr>
          <w:rFonts w:hint="eastAsia"/>
          <w:b/>
          <w:color w:val="auto"/>
          <w:sz w:val="28"/>
          <w:szCs w:val="28"/>
          <w:u w:val="single"/>
          <w:lang w:val="en-US" w:eastAsia="zh-CN"/>
        </w:rPr>
        <w:t>15860320178</w:t>
      </w:r>
    </w:p>
    <w:p>
      <w:pPr>
        <w:spacing w:line="400" w:lineRule="atLeast"/>
        <w:ind w:firstLine="480" w:firstLineChars="200"/>
        <w:rPr>
          <w:rFonts w:ascii="宋体" w:hAnsi="宋体"/>
          <w:color w:val="auto"/>
          <w:sz w:val="24"/>
        </w:rPr>
      </w:pPr>
    </w:p>
    <w:p>
      <w:pPr>
        <w:spacing w:line="400" w:lineRule="atLeast"/>
        <w:ind w:right="480"/>
        <w:jc w:val="right"/>
        <w:rPr>
          <w:rFonts w:ascii="宋体" w:hAnsi="宋体"/>
          <w:b/>
          <w:bCs/>
          <w:color w:val="auto"/>
          <w:sz w:val="24"/>
        </w:rPr>
      </w:pPr>
      <w:r>
        <w:rPr>
          <w:rFonts w:hint="eastAsia" w:ascii="宋体" w:hAnsi="宋体"/>
          <w:b/>
          <w:bCs/>
          <w:color w:val="auto"/>
          <w:sz w:val="24"/>
        </w:rPr>
        <w:t>福建省晋江华侨职业中专学校</w:t>
      </w:r>
    </w:p>
    <w:p>
      <w:pPr>
        <w:adjustRightInd w:val="0"/>
        <w:snapToGrid w:val="0"/>
        <w:spacing w:line="400" w:lineRule="atLeast"/>
        <w:ind w:firstLine="562" w:firstLineChars="200"/>
        <w:jc w:val="right"/>
        <w:rPr>
          <w:rFonts w:hint="eastAsia" w:ascii="宋体" w:hAnsi="宋体"/>
          <w:b/>
          <w:bCs/>
          <w:color w:val="auto"/>
          <w:sz w:val="24"/>
        </w:rPr>
      </w:pPr>
      <w:r>
        <w:rPr>
          <w:rFonts w:hint="eastAsia"/>
          <w:b/>
          <w:color w:val="auto"/>
          <w:sz w:val="28"/>
          <w:szCs w:val="28"/>
          <w:u w:val="single"/>
          <w:lang w:val="en-US" w:eastAsia="zh-CN"/>
        </w:rPr>
        <w:t>2024</w:t>
      </w:r>
      <w:r>
        <w:rPr>
          <w:rFonts w:hint="eastAsia"/>
          <w:b/>
          <w:color w:val="auto"/>
          <w:sz w:val="28"/>
          <w:szCs w:val="28"/>
          <w:u w:val="single"/>
        </w:rPr>
        <w:t>年</w:t>
      </w:r>
      <w:r>
        <w:rPr>
          <w:rFonts w:hint="eastAsia"/>
          <w:b/>
          <w:color w:val="auto"/>
          <w:sz w:val="28"/>
          <w:szCs w:val="28"/>
          <w:u w:val="single"/>
          <w:lang w:val="en-US" w:eastAsia="zh-CN"/>
        </w:rPr>
        <w:t>01</w:t>
      </w:r>
      <w:r>
        <w:rPr>
          <w:rFonts w:hint="eastAsia"/>
          <w:b/>
          <w:color w:val="auto"/>
          <w:sz w:val="28"/>
          <w:szCs w:val="28"/>
          <w:u w:val="single"/>
        </w:rPr>
        <w:t>月</w:t>
      </w:r>
      <w:r>
        <w:rPr>
          <w:rFonts w:hint="eastAsia"/>
          <w:b/>
          <w:color w:val="auto"/>
          <w:sz w:val="28"/>
          <w:szCs w:val="28"/>
          <w:u w:val="single"/>
          <w:lang w:val="en-US" w:eastAsia="zh-CN"/>
        </w:rPr>
        <w:t>16</w:t>
      </w:r>
      <w:r>
        <w:rPr>
          <w:rFonts w:hint="eastAsia"/>
          <w:b/>
          <w:color w:val="auto"/>
          <w:sz w:val="28"/>
          <w:szCs w:val="28"/>
          <w:u w:val="single"/>
        </w:rPr>
        <w:t>日</w:t>
      </w:r>
    </w:p>
    <w:p>
      <w:pPr>
        <w:pStyle w:val="2"/>
        <w:jc w:val="center"/>
        <w:rPr>
          <w:rFonts w:hint="eastAsia" w:ascii="黑体" w:hAnsi="宋体"/>
          <w:color w:val="auto"/>
        </w:rPr>
      </w:pPr>
      <w:bookmarkStart w:id="2" w:name="_Toc445282727"/>
      <w:bookmarkStart w:id="3" w:name="_Toc134733482"/>
      <w:r>
        <w:rPr>
          <w:rFonts w:hint="eastAsia" w:ascii="黑体" w:hAnsi="宋体"/>
          <w:color w:val="auto"/>
        </w:rPr>
        <w:t>第二章      询价设备具体内容及技术要求</w:t>
      </w:r>
      <w:bookmarkEnd w:id="2"/>
    </w:p>
    <w:tbl>
      <w:tblPr>
        <w:tblStyle w:val="3"/>
        <w:tblpPr w:leftFromText="180" w:rightFromText="180" w:vertAnchor="text" w:horzAnchor="page" w:tblpX="1826" w:tblpY="550"/>
        <w:tblOverlap w:val="never"/>
        <w:tblW w:w="8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1644"/>
        <w:gridCol w:w="1668"/>
        <w:gridCol w:w="2806"/>
        <w:gridCol w:w="818"/>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27" w:type="dxa"/>
            <w:noWrap w:val="0"/>
            <w:vAlign w:val="center"/>
          </w:tcPr>
          <w:p>
            <w:pPr>
              <w:keepNext w:val="0"/>
              <w:keepLines w:val="0"/>
              <w:widowControl/>
              <w:suppressLineNumbers w:val="0"/>
              <w:jc w:val="left"/>
              <w:textAlignment w:val="center"/>
              <w:rPr>
                <w:color w:val="auto"/>
                <w:sz w:val="18"/>
                <w:szCs w:val="18"/>
              </w:rPr>
            </w:pPr>
            <w:bookmarkStart w:id="4" w:name="_Toc445278871"/>
            <w:bookmarkStart w:id="5" w:name="_Toc445282728"/>
            <w:r>
              <w:rPr>
                <w:rFonts w:hint="eastAsia" w:ascii="宋体" w:hAnsi="宋体" w:eastAsia="宋体" w:cs="宋体"/>
                <w:i w:val="0"/>
                <w:iCs w:val="0"/>
                <w:color w:val="auto"/>
                <w:kern w:val="0"/>
                <w:sz w:val="22"/>
                <w:szCs w:val="22"/>
                <w:u w:val="none"/>
                <w:lang w:val="en-US" w:eastAsia="zh-CN" w:bidi="ar"/>
              </w:rPr>
              <w:t>序号</w:t>
            </w:r>
          </w:p>
        </w:tc>
        <w:tc>
          <w:tcPr>
            <w:tcW w:w="1644" w:type="dxa"/>
            <w:noWrap w:val="0"/>
            <w:vAlign w:val="center"/>
          </w:tcPr>
          <w:p>
            <w:pPr>
              <w:keepNext w:val="0"/>
              <w:keepLines w:val="0"/>
              <w:widowControl/>
              <w:suppressLineNumbers w:val="0"/>
              <w:jc w:val="left"/>
              <w:textAlignment w:val="center"/>
              <w:rPr>
                <w:color w:val="auto"/>
                <w:sz w:val="18"/>
                <w:szCs w:val="18"/>
              </w:rPr>
            </w:pPr>
            <w:r>
              <w:rPr>
                <w:rFonts w:hint="eastAsia" w:ascii="宋体" w:hAnsi="宋体" w:eastAsia="宋体" w:cs="宋体"/>
                <w:i w:val="0"/>
                <w:iCs w:val="0"/>
                <w:color w:val="auto"/>
                <w:kern w:val="0"/>
                <w:sz w:val="22"/>
                <w:szCs w:val="22"/>
                <w:u w:val="none"/>
                <w:lang w:val="en-US" w:eastAsia="zh-CN" w:bidi="ar"/>
              </w:rPr>
              <w:t>项目名称</w:t>
            </w:r>
          </w:p>
        </w:tc>
        <w:tc>
          <w:tcPr>
            <w:tcW w:w="1668" w:type="dxa"/>
            <w:noWrap w:val="0"/>
            <w:vAlign w:val="center"/>
          </w:tcPr>
          <w:p>
            <w:pPr>
              <w:keepNext w:val="0"/>
              <w:keepLines w:val="0"/>
              <w:widowControl/>
              <w:suppressLineNumbers w:val="0"/>
              <w:jc w:val="left"/>
              <w:textAlignment w:val="center"/>
              <w:rPr>
                <w:color w:val="auto"/>
                <w:sz w:val="18"/>
                <w:szCs w:val="18"/>
              </w:rPr>
            </w:pPr>
            <w:r>
              <w:rPr>
                <w:rFonts w:hint="eastAsia" w:ascii="宋体" w:hAnsi="宋体" w:eastAsia="宋体" w:cs="宋体"/>
                <w:i w:val="0"/>
                <w:iCs w:val="0"/>
                <w:color w:val="auto"/>
                <w:kern w:val="0"/>
                <w:sz w:val="22"/>
                <w:szCs w:val="22"/>
                <w:u w:val="none"/>
                <w:lang w:val="en-US" w:eastAsia="zh-CN" w:bidi="ar"/>
              </w:rPr>
              <w:t>品牌型号</w:t>
            </w:r>
          </w:p>
        </w:tc>
        <w:tc>
          <w:tcPr>
            <w:tcW w:w="2806" w:type="dxa"/>
            <w:noWrap w:val="0"/>
            <w:vAlign w:val="center"/>
          </w:tcPr>
          <w:p>
            <w:pPr>
              <w:keepNext w:val="0"/>
              <w:keepLines w:val="0"/>
              <w:widowControl/>
              <w:suppressLineNumbers w:val="0"/>
              <w:jc w:val="left"/>
              <w:textAlignment w:val="center"/>
              <w:rPr>
                <w:color w:val="auto"/>
                <w:sz w:val="18"/>
                <w:szCs w:val="18"/>
              </w:rPr>
            </w:pPr>
            <w:r>
              <w:rPr>
                <w:rFonts w:hint="eastAsia" w:ascii="宋体" w:hAnsi="宋体" w:eastAsia="宋体" w:cs="宋体"/>
                <w:i w:val="0"/>
                <w:iCs w:val="0"/>
                <w:color w:val="auto"/>
                <w:kern w:val="0"/>
                <w:sz w:val="22"/>
                <w:szCs w:val="22"/>
                <w:u w:val="none"/>
                <w:lang w:val="en-US" w:eastAsia="zh-CN" w:bidi="ar"/>
              </w:rPr>
              <w:t>技术参数</w:t>
            </w:r>
          </w:p>
        </w:tc>
        <w:tc>
          <w:tcPr>
            <w:tcW w:w="818" w:type="dxa"/>
            <w:noWrap w:val="0"/>
            <w:vAlign w:val="center"/>
          </w:tcPr>
          <w:p>
            <w:pPr>
              <w:keepNext w:val="0"/>
              <w:keepLines w:val="0"/>
              <w:widowControl/>
              <w:suppressLineNumbers w:val="0"/>
              <w:jc w:val="center"/>
              <w:textAlignment w:val="center"/>
              <w:rPr>
                <w:color w:val="auto"/>
                <w:sz w:val="18"/>
                <w:szCs w:val="18"/>
              </w:rPr>
            </w:pPr>
            <w:r>
              <w:rPr>
                <w:rFonts w:hint="eastAsia" w:ascii="宋体" w:hAnsi="宋体" w:eastAsia="宋体" w:cs="宋体"/>
                <w:i w:val="0"/>
                <w:iCs w:val="0"/>
                <w:color w:val="auto"/>
                <w:kern w:val="0"/>
                <w:sz w:val="22"/>
                <w:szCs w:val="22"/>
                <w:u w:val="none"/>
                <w:lang w:val="en-US" w:eastAsia="zh-CN" w:bidi="ar"/>
              </w:rPr>
              <w:t>单位</w:t>
            </w:r>
          </w:p>
        </w:tc>
        <w:tc>
          <w:tcPr>
            <w:tcW w:w="954" w:type="dxa"/>
            <w:noWrap w:val="0"/>
            <w:vAlign w:val="center"/>
          </w:tcPr>
          <w:p>
            <w:pPr>
              <w:keepNext w:val="0"/>
              <w:keepLines w:val="0"/>
              <w:widowControl/>
              <w:suppressLineNumbers w:val="0"/>
              <w:jc w:val="center"/>
              <w:textAlignment w:val="center"/>
              <w:rPr>
                <w:color w:val="auto"/>
                <w:sz w:val="18"/>
                <w:szCs w:val="18"/>
              </w:rPr>
            </w:pPr>
            <w:r>
              <w:rPr>
                <w:rFonts w:hint="eastAsia" w:ascii="宋体" w:hAnsi="宋体" w:eastAsia="宋体" w:cs="宋体"/>
                <w:i w:val="0"/>
                <w:iCs w:val="0"/>
                <w:color w:val="auto"/>
                <w:kern w:val="0"/>
                <w:sz w:val="22"/>
                <w:szCs w:val="22"/>
                <w:u w:val="none"/>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2" w:hRule="exact"/>
        </w:trPr>
        <w:tc>
          <w:tcPr>
            <w:tcW w:w="527" w:type="dxa"/>
            <w:noWrap w:val="0"/>
            <w:vAlign w:val="center"/>
          </w:tcPr>
          <w:p>
            <w:pPr>
              <w:keepNext w:val="0"/>
              <w:keepLines w:val="0"/>
              <w:widowControl/>
              <w:suppressLineNumbers w:val="0"/>
              <w:jc w:val="center"/>
              <w:textAlignment w:val="center"/>
              <w:rPr>
                <w:color w:val="auto"/>
                <w:kern w:val="0"/>
                <w:sz w:val="18"/>
                <w:szCs w:val="18"/>
              </w:rPr>
            </w:pPr>
            <w:r>
              <w:rPr>
                <w:rFonts w:hint="eastAsia" w:ascii="宋体" w:hAnsi="宋体" w:eastAsia="宋体" w:cs="宋体"/>
                <w:i w:val="0"/>
                <w:iCs w:val="0"/>
                <w:color w:val="auto"/>
                <w:kern w:val="0"/>
                <w:sz w:val="22"/>
                <w:szCs w:val="22"/>
                <w:u w:val="none"/>
                <w:lang w:val="en-US" w:eastAsia="zh-CN" w:bidi="ar"/>
              </w:rPr>
              <w:t>1</w:t>
            </w:r>
          </w:p>
        </w:tc>
        <w:tc>
          <w:tcPr>
            <w:tcW w:w="1644" w:type="dxa"/>
            <w:noWrap w:val="0"/>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显示终端</w:t>
            </w:r>
          </w:p>
        </w:tc>
        <w:tc>
          <w:tcPr>
            <w:tcW w:w="1668" w:type="dxa"/>
            <w:noWrap w:val="0"/>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小米电视EA65</w:t>
            </w:r>
          </w:p>
        </w:tc>
        <w:tc>
          <w:tcPr>
            <w:tcW w:w="2806" w:type="dxa"/>
            <w:noWrap w:val="0"/>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【一】显示终端</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1)屏幕尺寸：≧65英寸；</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2)刷屏率：≧60Hz；</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3)屏幕分辨率：≧超高清4K；</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4)存储内存：≧8GB；</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5)屏幕比例：16:9；</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6）显示类型：LCD显示；</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7）边框材质：金属：</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8）数量：15台</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【二】配套教学平台</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（一）系统概述</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AI数字化教学系统资源云平台的主要功能可以理解为教、学、做、测、评。配套立体化教学资源库，满足国家教材开发及数字资源库建设标准，并上传到数字化课程资源平台。具体包括PPT课件、作业/题库、实战任务/指导书、素材（知识点、案例、文章）、教案、视频、品牌案例等资源。测评部分，则由老师根据课程题库试题，随机生成试卷，学生参加考试测评。通过记录学生在线上参加的课程培训、考试竞赛、试题练习等情况，通过学生证书实现对学生学习情况的全程跟踪管理和对学习实训需求的全面掌握。</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（二）技术要求</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系统采用目前主流的开发方式，使用简洁浏览器代码或者纯净的HTML进行页面呈现。后端采用C#开发语言。UI基于主流风格设计，使得界面外观上简洁清爽，代码结构上简单明了易于维护。</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（三）系统功能模块介绍</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平台是基于云平台系统，支持多人同时在线，不受使用者数量限制，可根据用户实际需求提供使用权限。本平台分门户前台和后台管理。</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（四）门户前台</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门户前台：包括院系专业、课程资源中心、直播中心、考试测评中心、职教资讯、通知公告、登陆及注册。院系专业：可分层级管理，包含学业水平测试设置及职业教育各大专业大类设置，可创建专业大类下详细专业。</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课程资源中心：主要展示设置专业的课程资源内容介绍、成果展示等。</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考试测评中心：主要为设置考试情况，包含考试对应的课程、参考人员、场次、考试时间、限时时间设置、总分、对应的专业及课程。</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职教资讯：提供职业教育资讯及文件解读等展示。</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通知公告：重要事情通知及公告以及学校的新闻等内容。</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（五）系统后台管理端/学校管理人员</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1、教务管理：专业及课程、题库/实训任务书、学生管理、教师管理等模块。</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1）专业及课程模块包含课程管理及专业：课程管理可编辑课程新增、修改、删除、批量设置，并具有查询功能及页面直接形成打印的功能，方便学校教务的管理。课程内容的展现形式包含课程信息、章节数、试题数、试卷数、视频数、学员数及课程的访问量。可设置启用及禁用的功能，可对课程进行管理及设置该课程所对应的教学老师；专业设置模块可新增专业，展示专业对应下级的课程数量，可以对专业内容进行编辑。</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2）题库/实训任务书：可编辑试题的新增、修改、删除、导入、导出，并具有查询功能与更多条件设置，页面直接形成打印的功能。试题内容的展现形式包含序号、试题、难度、课程、使用、修改、删除。可设置启用及禁用的功能。</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（3）学生管理：可编辑管理学生的新增、修改、删除、导入、导出，批量禁用并具有查询功能，页面直接形成打印的功能。</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4）教师管理：可编辑管理老师的新增、修改、删除、导入、导出，并具有查询功能，页面直接形成打印的功能。展现形式包含姓名/电话、身份证号、民族、学历/职称、年龄、最后登录的时间和日期情况、账号情况。可设置启用及禁用及包含重置密码、修改、删除的功能。</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2、平台管理：职教政策、管理员、学校管理、平台设置、功能设置、学校定制等功能模块</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1）职教政策模块：包含重要文件、公告公示、政策解读；重要文件可编辑新增、修改、删除，并具有搜索功能及页面直接形成打印的功能，展现形式包含主题、预览、时间、类型、位置、显示及关闭按钮、修改及删除操作；公告公示按照栏目模块分为新闻、教育新闻、国内新闻3个模块，可编辑新增、修改、删除，并具有查询功能及页面直接形成打印的功能。展现形式包含标题启用及关闭按钮、修改及删除操作；政策解读可新增栏目，并具有搜索功能及页面直接形成打印的功能。展现形式包含启用按钮、新增下级、编辑及删除；</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2）管理员模块：包含管理人员、角色/岗位、职务；管理人员可编辑新增、修改、删除，并具有查询功能及页面直接形成打印的功能，展现形式包含序号、姓名/账号、电话、岗位、启用与关闭按钮、重置密码、修改及删除操作；角色/岗位可编辑新增、修改、删除，并具有页面直接形成打印的功能，展现形式包含岗位名称、启用按钮、设置成员、权限、修改及删除操作；职务可新增、修改、删除栏目，并具有页面直接形成打印的功能，展现形式包含名称、启用按钮、修改及删除；</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3）学校管理模块：包含院系设置、分类管理；院系设置可编辑新增、修改、删除，并具有选择分类、链接名、链接地址、查询功能及页面直接形成打印的功能，展现形式包含链接名称、序号、链接、所属分类、启用按钮、修改及删除操作；分类管理可编辑新增、修改、删除，并具有查询功能及页面直接形成打印的功能，展现形式包含ID、分类名称、图片、文字、启用、显示、修改及删除操作；</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4）平台设置模块：包含基础信息、功能设置、学分证书；基础信息按模块分为常规、SEO、联系方式、关于我们；常规模块设置包含平台名称、域名、标志、ICP备案、公案备案号；SEO模块设置包含Keywords、Description、附属代码；联系方式模块可编辑地址、电话、传真、电子邮箱、微信、联系人、联系电话、邮编；关于我们模块可针对文本内容进行编辑；</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5）功能设置模块：包含登陆/注册、课程学习、终端设置；学分证书模块用于学员学习情况导出时使用；可设置加印公章证明，公章需要加盖到学习信息之上，公章图片可设置为gif或png格式的背景透明图片。可设定公章位置为左上、右上、左下、右下地方；</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（6）学校定制功能：WEB前端、移动端定制；WEB前端和移动端定制均有模板选择、导航菜单、轮播图片设置的功能。</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演示项：（六）教师端</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教师端：课程及班级管理、课程交流、测试/考试、个人信息</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1、课程及班级管理：对接学校管理平台的课程及班级，教师端可对课程及班级进行管理设置，包含新增创建新课程，修改及删除，能选择对应的专业进行课程设置、推荐及查询。</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2、课程交流：学生可针对老师的课程教学情况及问题进行交流，功能上可编辑删除、查询功能，展现形式包含链接学生的留言、学员账号名称、时间并具有查询功能及修改及删除操作；</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3、测试/考试：试卷管理、考试管理、考试成绩</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（1）试卷管理：可编辑新增、修改、删除，并具有查询功能，展现试卷、类型、分数/限时、成绩、批量启用、批量禁用，管理启用、修改及删除操作；</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（2）考试管理：可编辑新增并具有查询功能含一定周期内考试的开始日期至结束日期、考试主题查询，展现考试主题、时间设定、考试时间、参考人次、参考人员，管理启用、修改及删除操作；</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3）考试成绩：具有查询功能含一定周期内考试的开始日期至结束日期、考试主题查询，展现考试主题、参考人次、参考人员，考试场次、专业、及格/满分、平均分、参考人数、成绩查看，可通过学生姓名搜索查询，也可根据考试情况批量导出成绩数据。</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4、个人信息：教师的账号信息编辑包含基本信息、联系方式、详细信息、个人介绍等.</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注：供应商需提供软件平台演示视频U盘，演示内容“（六）教师端   教师端：课程及班级管理、课程交流、测试/考试、个人信息”的全部功能内容。演示内容需有实际内容数据，非空白系统平台。）演示时间不超过10分钟。演示内容不符合要求，按负偏离处理。</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（七）学生端</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1、学生端：我的课程、学习回顾、学习证明、个人信息、学习管理/学分、学习卡、分享</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2、我的课程：学生可查看我的课程、过期课程、试学课程，也可自主搜索查询；</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3、学习回顾：包含学习的专项考试的成绩回顾及错题回顾，查看检验考试学习的情况，也可通过名称自主搜索查询；</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4、学习证明：学生根据学期的学习情况，可通过大数据分析，选择需要学习证明的课程可进行学习证明打印，也可通过名称自主搜索查询打印；</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5、个人信息：学生账号信息编辑包含基本信息、联系方式、个人介绍、安全管理（密码修改及安全问题）等；</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6、学习管理/学分：包含学习时长、学习时间管理、学习卡券、积分、学分收益；</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7、学习卡：可设置学生的学习卡使用情况等；</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8、分享：学生可以把课程的学习情况及课程推荐分享给其他班级或专业学生，系统会自动生成分享链接及分享二维码。</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（八）平台配套数量：1套</w:t>
            </w:r>
          </w:p>
        </w:tc>
        <w:tc>
          <w:tcPr>
            <w:tcW w:w="818" w:type="dxa"/>
            <w:noWrap w:val="0"/>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套</w:t>
            </w:r>
          </w:p>
        </w:tc>
        <w:tc>
          <w:tcPr>
            <w:tcW w:w="954" w:type="dxa"/>
            <w:noWrap w:val="0"/>
            <w:vAlign w:val="center"/>
          </w:tcPr>
          <w:p>
            <w:pPr>
              <w:keepNext w:val="0"/>
              <w:keepLines w:val="0"/>
              <w:widowControl/>
              <w:suppressLineNumbers w:val="0"/>
              <w:jc w:val="right"/>
              <w:textAlignment w:val="center"/>
              <w:rPr>
                <w:color w:val="auto"/>
                <w:sz w:val="18"/>
                <w:szCs w:val="18"/>
              </w:rPr>
            </w:pPr>
            <w:r>
              <w:rPr>
                <w:rFonts w:hint="eastAsia" w:ascii="宋体" w:hAnsi="宋体" w:eastAsia="宋体" w:cs="宋体"/>
                <w:i w:val="0"/>
                <w:iCs w:val="0"/>
                <w:color w:val="auto"/>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7" w:hRule="exact"/>
        </w:trPr>
        <w:tc>
          <w:tcPr>
            <w:tcW w:w="527" w:type="dxa"/>
            <w:noWrap w:val="0"/>
            <w:vAlign w:val="center"/>
          </w:tcPr>
          <w:p>
            <w:pPr>
              <w:keepNext w:val="0"/>
              <w:keepLines w:val="0"/>
              <w:widowControl/>
              <w:suppressLineNumbers w:val="0"/>
              <w:jc w:val="center"/>
              <w:textAlignment w:val="center"/>
              <w:rPr>
                <w:color w:val="auto"/>
                <w:kern w:val="0"/>
                <w:sz w:val="18"/>
                <w:szCs w:val="18"/>
              </w:rPr>
            </w:pPr>
            <w:r>
              <w:rPr>
                <w:rFonts w:hint="eastAsia" w:ascii="宋体" w:hAnsi="宋体" w:eastAsia="宋体" w:cs="宋体"/>
                <w:i w:val="0"/>
                <w:iCs w:val="0"/>
                <w:color w:val="auto"/>
                <w:kern w:val="0"/>
                <w:sz w:val="22"/>
                <w:szCs w:val="22"/>
                <w:u w:val="none"/>
                <w:lang w:val="en-US" w:eastAsia="zh-CN" w:bidi="ar"/>
              </w:rPr>
              <w:t>2</w:t>
            </w:r>
          </w:p>
        </w:tc>
        <w:tc>
          <w:tcPr>
            <w:tcW w:w="1644" w:type="dxa"/>
            <w:noWrap w:val="0"/>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教学视频展台</w:t>
            </w:r>
          </w:p>
        </w:tc>
        <w:tc>
          <w:tcPr>
            <w:tcW w:w="1668" w:type="dxa"/>
            <w:noWrap w:val="0"/>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毅廉锐J5</w:t>
            </w:r>
          </w:p>
        </w:tc>
        <w:tc>
          <w:tcPr>
            <w:tcW w:w="2806" w:type="dxa"/>
            <w:noWrap w:val="0"/>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1)图像传感器：≧1/2.3英寸CMOS；</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2)机器像素：≧2100万；</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3)输出接口类型：HDMI+USB输出接口；</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4)图像分辨率：HDMI输出5488*4112、1920*1080；</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5)储存方式：TF卡储存(最大128G)USB；</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6)机器参数：白平衡、曝光、锐度、对比度可机器/遥控器手动调节；</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7)数码变焦：支持机器/遥控器调节；</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8)镜头接口：c/CS接口；</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9)电源：DC12V(也可支持USB5V供电)。</w:t>
            </w:r>
          </w:p>
        </w:tc>
        <w:tc>
          <w:tcPr>
            <w:tcW w:w="818" w:type="dxa"/>
            <w:noWrap w:val="0"/>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台</w:t>
            </w:r>
          </w:p>
        </w:tc>
        <w:tc>
          <w:tcPr>
            <w:tcW w:w="954" w:type="dxa"/>
            <w:noWrap w:val="0"/>
            <w:vAlign w:val="center"/>
          </w:tcPr>
          <w:p>
            <w:pPr>
              <w:keepNext w:val="0"/>
              <w:keepLines w:val="0"/>
              <w:widowControl/>
              <w:suppressLineNumbers w:val="0"/>
              <w:jc w:val="right"/>
              <w:textAlignment w:val="center"/>
              <w:rPr>
                <w:color w:val="auto"/>
                <w:sz w:val="18"/>
                <w:szCs w:val="18"/>
              </w:rPr>
            </w:pPr>
            <w:r>
              <w:rPr>
                <w:rFonts w:hint="eastAsia" w:ascii="宋体" w:hAnsi="宋体" w:eastAsia="宋体" w:cs="宋体"/>
                <w:i w:val="0"/>
                <w:iCs w:val="0"/>
                <w:color w:val="auto"/>
                <w:kern w:val="0"/>
                <w:sz w:val="22"/>
                <w:szCs w:val="22"/>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exact"/>
        </w:trPr>
        <w:tc>
          <w:tcPr>
            <w:tcW w:w="527" w:type="dxa"/>
            <w:noWrap w:val="0"/>
            <w:vAlign w:val="center"/>
          </w:tcPr>
          <w:p>
            <w:pPr>
              <w:keepNext w:val="0"/>
              <w:keepLines w:val="0"/>
              <w:widowControl/>
              <w:suppressLineNumbers w:val="0"/>
              <w:jc w:val="center"/>
              <w:textAlignment w:val="center"/>
              <w:rPr>
                <w:color w:val="auto"/>
                <w:kern w:val="0"/>
                <w:sz w:val="18"/>
                <w:szCs w:val="18"/>
              </w:rPr>
            </w:pPr>
            <w:r>
              <w:rPr>
                <w:rFonts w:hint="eastAsia" w:ascii="宋体" w:hAnsi="宋体" w:eastAsia="宋体" w:cs="宋体"/>
                <w:i w:val="0"/>
                <w:iCs w:val="0"/>
                <w:color w:val="auto"/>
                <w:kern w:val="0"/>
                <w:sz w:val="22"/>
                <w:szCs w:val="22"/>
                <w:u w:val="none"/>
                <w:lang w:val="en-US" w:eastAsia="zh-CN" w:bidi="ar"/>
              </w:rPr>
              <w:t>3</w:t>
            </w:r>
          </w:p>
        </w:tc>
        <w:tc>
          <w:tcPr>
            <w:tcW w:w="1644" w:type="dxa"/>
            <w:noWrap w:val="0"/>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多功能一体式升降抽屉画架</w:t>
            </w:r>
          </w:p>
        </w:tc>
        <w:tc>
          <w:tcPr>
            <w:tcW w:w="1668" w:type="dxa"/>
            <w:noWrap w:val="0"/>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绘岳JHZ126(S)</w:t>
            </w:r>
          </w:p>
        </w:tc>
        <w:tc>
          <w:tcPr>
            <w:tcW w:w="2806" w:type="dxa"/>
            <w:noWrap w:val="0"/>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1.长度：≥45cm；</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2.整体高度：≥90cm；</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3.宽度：≥35cm；</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4.材质：榉木。</w:t>
            </w:r>
          </w:p>
        </w:tc>
        <w:tc>
          <w:tcPr>
            <w:tcW w:w="818" w:type="dxa"/>
            <w:noWrap w:val="0"/>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架</w:t>
            </w:r>
          </w:p>
        </w:tc>
        <w:tc>
          <w:tcPr>
            <w:tcW w:w="954" w:type="dxa"/>
            <w:noWrap w:val="0"/>
            <w:vAlign w:val="center"/>
          </w:tcPr>
          <w:p>
            <w:pPr>
              <w:keepNext w:val="0"/>
              <w:keepLines w:val="0"/>
              <w:widowControl/>
              <w:suppressLineNumbers w:val="0"/>
              <w:jc w:val="right"/>
              <w:textAlignment w:val="center"/>
              <w:rPr>
                <w:color w:val="auto"/>
                <w:sz w:val="18"/>
                <w:szCs w:val="18"/>
              </w:rPr>
            </w:pPr>
            <w:r>
              <w:rPr>
                <w:rFonts w:hint="eastAsia" w:ascii="宋体" w:hAnsi="宋体" w:eastAsia="宋体" w:cs="宋体"/>
                <w:i w:val="0"/>
                <w:iCs w:val="0"/>
                <w:color w:val="auto"/>
                <w:kern w:val="0"/>
                <w:sz w:val="22"/>
                <w:szCs w:val="22"/>
                <w:u w:val="none"/>
                <w:lang w:val="en-US" w:eastAsia="zh-CN" w:bidi="ar"/>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9" w:hRule="exact"/>
        </w:trPr>
        <w:tc>
          <w:tcPr>
            <w:tcW w:w="527" w:type="dxa"/>
            <w:noWrap w:val="0"/>
            <w:vAlign w:val="center"/>
          </w:tcPr>
          <w:p>
            <w:pPr>
              <w:keepNext w:val="0"/>
              <w:keepLines w:val="0"/>
              <w:widowControl/>
              <w:suppressLineNumbers w:val="0"/>
              <w:jc w:val="center"/>
              <w:textAlignment w:val="center"/>
              <w:rPr>
                <w:color w:val="auto"/>
                <w:kern w:val="0"/>
                <w:sz w:val="18"/>
                <w:szCs w:val="18"/>
              </w:rPr>
            </w:pPr>
            <w:r>
              <w:rPr>
                <w:rFonts w:hint="eastAsia" w:ascii="宋体" w:hAnsi="宋体" w:eastAsia="宋体" w:cs="宋体"/>
                <w:i w:val="0"/>
                <w:iCs w:val="0"/>
                <w:color w:val="auto"/>
                <w:kern w:val="0"/>
                <w:sz w:val="22"/>
                <w:szCs w:val="22"/>
                <w:u w:val="none"/>
                <w:lang w:val="en-US" w:eastAsia="zh-CN" w:bidi="ar"/>
              </w:rPr>
              <w:t>4</w:t>
            </w:r>
          </w:p>
        </w:tc>
        <w:tc>
          <w:tcPr>
            <w:tcW w:w="1644" w:type="dxa"/>
            <w:noWrap w:val="0"/>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附件及线材</w:t>
            </w:r>
          </w:p>
        </w:tc>
        <w:tc>
          <w:tcPr>
            <w:tcW w:w="1668" w:type="dxa"/>
            <w:noWrap w:val="0"/>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定制</w:t>
            </w:r>
          </w:p>
        </w:tc>
        <w:tc>
          <w:tcPr>
            <w:tcW w:w="2806" w:type="dxa"/>
            <w:noWrap w:val="0"/>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HDMI高清音视频信号线、超五类网络传输线、RVVP线缆、电视机挂架/吊架、交换机等网络综合布线等。</w:t>
            </w:r>
          </w:p>
        </w:tc>
        <w:tc>
          <w:tcPr>
            <w:tcW w:w="818" w:type="dxa"/>
            <w:noWrap w:val="0"/>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项</w:t>
            </w:r>
          </w:p>
        </w:tc>
        <w:tc>
          <w:tcPr>
            <w:tcW w:w="954" w:type="dxa"/>
            <w:noWrap w:val="0"/>
            <w:vAlign w:val="center"/>
          </w:tcPr>
          <w:p>
            <w:pPr>
              <w:keepNext w:val="0"/>
              <w:keepLines w:val="0"/>
              <w:widowControl/>
              <w:suppressLineNumbers w:val="0"/>
              <w:jc w:val="right"/>
              <w:textAlignment w:val="center"/>
              <w:rPr>
                <w:color w:val="auto"/>
                <w:sz w:val="18"/>
                <w:szCs w:val="18"/>
              </w:rPr>
            </w:pPr>
            <w:r>
              <w:rPr>
                <w:rFonts w:hint="eastAsia" w:ascii="宋体" w:hAnsi="宋体" w:eastAsia="宋体" w:cs="宋体"/>
                <w:i w:val="0"/>
                <w:iCs w:val="0"/>
                <w:color w:val="auto"/>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7" w:hRule="exact"/>
        </w:trPr>
        <w:tc>
          <w:tcPr>
            <w:tcW w:w="527" w:type="dxa"/>
            <w:noWrap w:val="0"/>
            <w:vAlign w:val="center"/>
          </w:tcPr>
          <w:p>
            <w:pPr>
              <w:keepNext w:val="0"/>
              <w:keepLines w:val="0"/>
              <w:widowControl/>
              <w:suppressLineNumbers w:val="0"/>
              <w:jc w:val="right"/>
              <w:textAlignment w:val="center"/>
              <w:rPr>
                <w:color w:val="auto"/>
                <w:kern w:val="0"/>
                <w:sz w:val="18"/>
                <w:szCs w:val="18"/>
              </w:rPr>
            </w:pPr>
            <w:r>
              <w:rPr>
                <w:rFonts w:hint="eastAsia" w:ascii="宋体" w:hAnsi="宋体" w:eastAsia="宋体" w:cs="宋体"/>
                <w:i w:val="0"/>
                <w:iCs w:val="0"/>
                <w:color w:val="auto"/>
                <w:kern w:val="0"/>
                <w:sz w:val="22"/>
                <w:szCs w:val="22"/>
                <w:u w:val="none"/>
                <w:lang w:val="en-US" w:eastAsia="zh-CN" w:bidi="ar"/>
              </w:rPr>
              <w:t>5</w:t>
            </w:r>
          </w:p>
        </w:tc>
        <w:tc>
          <w:tcPr>
            <w:tcW w:w="1644" w:type="dxa"/>
            <w:noWrap w:val="0"/>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LED灯</w:t>
            </w:r>
          </w:p>
        </w:tc>
        <w:tc>
          <w:tcPr>
            <w:tcW w:w="1668" w:type="dxa"/>
            <w:noWrap w:val="0"/>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欧普照明（OPPLE）</w:t>
            </w:r>
          </w:p>
        </w:tc>
        <w:tc>
          <w:tcPr>
            <w:tcW w:w="2806" w:type="dxa"/>
            <w:noWrap w:val="0"/>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1.国标LED灯采用扩散膜+格欧二级防康设计，无频闪危害、无蓝光危害光源；</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2.满足国家灯具质量监督检验中心报告，教室灯3C报告；</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3.全光谱LED光源CQS≥98*，色温/光色：5000K；</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4.显色指数：Ra≥95；</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5.含安装。</w:t>
            </w:r>
          </w:p>
        </w:tc>
        <w:tc>
          <w:tcPr>
            <w:tcW w:w="818" w:type="dxa"/>
            <w:noWrap w:val="0"/>
            <w:vAlign w:val="center"/>
          </w:tcPr>
          <w:p>
            <w:pPr>
              <w:keepNext w:val="0"/>
              <w:keepLines w:val="0"/>
              <w:widowControl/>
              <w:suppressLineNumbers w:val="0"/>
              <w:jc w:val="left"/>
              <w:textAlignment w:val="center"/>
              <w:rPr>
                <w:rFonts w:ascii="宋体" w:hAnsi="宋体" w:cs="宋体"/>
                <w:color w:val="auto"/>
                <w:sz w:val="24"/>
              </w:rPr>
            </w:pPr>
            <w:r>
              <w:rPr>
                <w:rFonts w:hint="eastAsia" w:ascii="宋体" w:hAnsi="宋体" w:eastAsia="宋体" w:cs="宋体"/>
                <w:i w:val="0"/>
                <w:iCs w:val="0"/>
                <w:color w:val="auto"/>
                <w:kern w:val="0"/>
                <w:sz w:val="22"/>
                <w:szCs w:val="22"/>
                <w:u w:val="none"/>
                <w:lang w:val="en-US" w:eastAsia="zh-CN" w:bidi="ar"/>
              </w:rPr>
              <w:t>盏</w:t>
            </w:r>
          </w:p>
        </w:tc>
        <w:tc>
          <w:tcPr>
            <w:tcW w:w="954" w:type="dxa"/>
            <w:noWrap w:val="0"/>
            <w:vAlign w:val="center"/>
          </w:tcPr>
          <w:p>
            <w:pPr>
              <w:keepNext w:val="0"/>
              <w:keepLines w:val="0"/>
              <w:widowControl/>
              <w:suppressLineNumbers w:val="0"/>
              <w:jc w:val="right"/>
              <w:textAlignment w:val="center"/>
              <w:rPr>
                <w:color w:val="auto"/>
                <w:sz w:val="18"/>
                <w:szCs w:val="18"/>
              </w:rPr>
            </w:pPr>
            <w:r>
              <w:rPr>
                <w:rFonts w:hint="eastAsia" w:ascii="宋体" w:hAnsi="宋体" w:eastAsia="宋体" w:cs="宋体"/>
                <w:i w:val="0"/>
                <w:iCs w:val="0"/>
                <w:color w:val="auto"/>
                <w:kern w:val="0"/>
                <w:sz w:val="22"/>
                <w:szCs w:val="22"/>
                <w:u w:val="none"/>
                <w:lang w:val="en-US" w:eastAsia="zh-CN" w:bidi="ar"/>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27" w:type="dxa"/>
            <w:noWrap w:val="0"/>
            <w:vAlign w:val="center"/>
          </w:tcPr>
          <w:p>
            <w:pPr>
              <w:rPr>
                <w:color w:val="auto"/>
                <w:kern w:val="0"/>
                <w:sz w:val="18"/>
                <w:szCs w:val="18"/>
              </w:rPr>
            </w:pPr>
          </w:p>
        </w:tc>
        <w:tc>
          <w:tcPr>
            <w:tcW w:w="1644" w:type="dxa"/>
            <w:noWrap w:val="0"/>
            <w:vAlign w:val="center"/>
          </w:tcPr>
          <w:p>
            <w:pPr>
              <w:rPr>
                <w:rFonts w:ascii="宋体" w:hAnsi="宋体" w:cs="宋体"/>
                <w:color w:val="auto"/>
                <w:sz w:val="24"/>
              </w:rPr>
            </w:pPr>
          </w:p>
        </w:tc>
        <w:tc>
          <w:tcPr>
            <w:tcW w:w="1668" w:type="dxa"/>
            <w:noWrap w:val="0"/>
            <w:vAlign w:val="center"/>
          </w:tcPr>
          <w:p>
            <w:pPr>
              <w:rPr>
                <w:rFonts w:ascii="宋体" w:hAnsi="宋体" w:cs="宋体"/>
                <w:color w:val="auto"/>
                <w:sz w:val="24"/>
              </w:rPr>
            </w:pPr>
          </w:p>
        </w:tc>
        <w:tc>
          <w:tcPr>
            <w:tcW w:w="2806" w:type="dxa"/>
            <w:noWrap w:val="0"/>
            <w:vAlign w:val="center"/>
          </w:tcPr>
          <w:p>
            <w:pPr>
              <w:rPr>
                <w:rFonts w:ascii="宋体" w:hAnsi="宋体" w:cs="宋体"/>
                <w:color w:val="auto"/>
                <w:sz w:val="24"/>
              </w:rPr>
            </w:pPr>
          </w:p>
        </w:tc>
        <w:tc>
          <w:tcPr>
            <w:tcW w:w="818" w:type="dxa"/>
            <w:noWrap w:val="0"/>
            <w:vAlign w:val="center"/>
          </w:tcPr>
          <w:p>
            <w:pPr>
              <w:rPr>
                <w:rFonts w:ascii="宋体" w:hAnsi="宋体" w:cs="宋体"/>
                <w:color w:val="auto"/>
                <w:sz w:val="24"/>
              </w:rPr>
            </w:pPr>
          </w:p>
        </w:tc>
        <w:tc>
          <w:tcPr>
            <w:tcW w:w="954" w:type="dxa"/>
            <w:noWrap w:val="0"/>
            <w:vAlign w:val="center"/>
          </w:tcPr>
          <w:p>
            <w:pPr>
              <w:rPr>
                <w:color w:val="auto"/>
                <w:sz w:val="18"/>
                <w:szCs w:val="18"/>
              </w:rPr>
            </w:pPr>
          </w:p>
        </w:tc>
      </w:tr>
    </w:tbl>
    <w:p>
      <w:pPr>
        <w:spacing w:line="400" w:lineRule="exact"/>
        <w:outlineLvl w:val="0"/>
        <w:rPr>
          <w:rFonts w:hint="eastAsia" w:ascii="宋体" w:hAnsi="宋体"/>
          <w:b/>
          <w:bCs/>
          <w:color w:val="auto"/>
          <w:sz w:val="24"/>
        </w:rPr>
      </w:pPr>
      <w:r>
        <w:rPr>
          <w:rFonts w:hint="eastAsia" w:ascii="宋体" w:hAnsi="宋体"/>
          <w:b/>
          <w:bCs/>
          <w:color w:val="auto"/>
          <w:sz w:val="24"/>
        </w:rPr>
        <w:t>一、询价设备清单及要求</w:t>
      </w:r>
      <w:bookmarkEnd w:id="4"/>
      <w:bookmarkEnd w:id="5"/>
    </w:p>
    <w:p>
      <w:pPr>
        <w:rPr>
          <w:rFonts w:hint="eastAsia"/>
          <w:color w:val="auto"/>
        </w:rPr>
      </w:pPr>
    </w:p>
    <w:p>
      <w:pPr>
        <w:rPr>
          <w:rFonts w:hint="eastAsia"/>
          <w:color w:val="auto"/>
        </w:rPr>
      </w:pPr>
    </w:p>
    <w:p>
      <w:pPr>
        <w:autoSpaceDE w:val="0"/>
        <w:autoSpaceDN w:val="0"/>
        <w:adjustRightInd w:val="0"/>
        <w:spacing w:line="400" w:lineRule="exact"/>
        <w:ind w:firstLine="480" w:firstLineChars="200"/>
        <w:rPr>
          <w:rFonts w:hint="eastAsia" w:ascii="宋体" w:hAnsi="宋体"/>
          <w:color w:val="auto"/>
          <w:sz w:val="24"/>
        </w:rPr>
      </w:pPr>
      <w:r>
        <w:rPr>
          <w:rFonts w:hint="eastAsia" w:ascii="宋体" w:hAnsi="宋体"/>
          <w:color w:val="auto"/>
          <w:sz w:val="24"/>
        </w:rPr>
        <w:t>注：询价报价应包括：设备价（包括硬件、软件）、运至合同指定地点的运输费、安装费（包括损耗、额外材料等）、保险费、安装、技术培训费、各种税费及相关招标代理费等。</w:t>
      </w:r>
    </w:p>
    <w:p>
      <w:pPr>
        <w:rPr>
          <w:rFonts w:hint="eastAsia"/>
          <w:color w:val="auto"/>
        </w:rPr>
      </w:pPr>
    </w:p>
    <w:p>
      <w:pPr>
        <w:rPr>
          <w:rFonts w:hint="eastAsia"/>
          <w:color w:val="auto"/>
        </w:rPr>
      </w:pPr>
    </w:p>
    <w:p>
      <w:pPr>
        <w:pStyle w:val="2"/>
        <w:spacing w:before="120" w:after="120" w:line="400" w:lineRule="exact"/>
        <w:jc w:val="center"/>
        <w:rPr>
          <w:rFonts w:hint="eastAsia" w:ascii="宋体" w:hAnsi="宋体" w:eastAsia="宋体"/>
          <w:color w:val="auto"/>
          <w:szCs w:val="32"/>
        </w:rPr>
      </w:pPr>
      <w:bookmarkStart w:id="6" w:name="_Toc445282729"/>
      <w:r>
        <w:rPr>
          <w:rFonts w:hint="eastAsia"/>
          <w:color w:val="auto"/>
        </w:rPr>
        <w:t xml:space="preserve">第三章    </w:t>
      </w:r>
      <w:bookmarkEnd w:id="3"/>
      <w:r>
        <w:rPr>
          <w:rFonts w:hint="eastAsia"/>
          <w:color w:val="auto"/>
        </w:rPr>
        <w:t>报价人须知</w:t>
      </w:r>
      <w:bookmarkEnd w:id="6"/>
      <w:bookmarkStart w:id="7" w:name="_Toc134733481"/>
    </w:p>
    <w:p>
      <w:pPr>
        <w:spacing w:line="400" w:lineRule="exact"/>
        <w:ind w:firstLine="602" w:firstLineChars="250"/>
        <w:rPr>
          <w:rFonts w:hint="eastAsia" w:ascii="宋体" w:hAnsi="宋体"/>
          <w:b/>
          <w:color w:val="auto"/>
          <w:sz w:val="24"/>
        </w:rPr>
      </w:pPr>
      <w:r>
        <w:rPr>
          <w:rFonts w:hint="eastAsia" w:ascii="宋体" w:hAnsi="宋体"/>
          <w:b/>
          <w:color w:val="auto"/>
          <w:sz w:val="24"/>
        </w:rPr>
        <w:t>1．资质要求</w:t>
      </w:r>
    </w:p>
    <w:p>
      <w:pPr>
        <w:spacing w:line="400" w:lineRule="exact"/>
        <w:ind w:firstLine="600" w:firstLineChars="250"/>
        <w:rPr>
          <w:rFonts w:hint="eastAsia" w:ascii="宋体" w:hAnsi="宋体"/>
          <w:color w:val="auto"/>
          <w:sz w:val="24"/>
        </w:rPr>
      </w:pPr>
      <w:r>
        <w:rPr>
          <w:rFonts w:hint="eastAsia" w:ascii="宋体" w:hAnsi="宋体"/>
          <w:color w:val="auto"/>
          <w:sz w:val="24"/>
        </w:rPr>
        <w:t>凡参加大宗物资采购报价商，必须具有一定的经济实力和良好商业信誉，在工商、税务机关登记注册，持有营业执照、税务登记证（</w:t>
      </w:r>
      <w:r>
        <w:rPr>
          <w:rFonts w:hint="eastAsia" w:ascii="宋体" w:hAnsi="宋体"/>
          <w:bCs/>
          <w:color w:val="auto"/>
          <w:sz w:val="24"/>
        </w:rPr>
        <w:t>三证合一的除外</w:t>
      </w:r>
      <w:r>
        <w:rPr>
          <w:rFonts w:hint="eastAsia" w:ascii="宋体" w:hAnsi="宋体"/>
          <w:color w:val="auto"/>
          <w:sz w:val="24"/>
        </w:rPr>
        <w:t>），且报价商所报价的货物或服务必须全部在营业执照允许经营的范围内。</w:t>
      </w:r>
    </w:p>
    <w:p>
      <w:pPr>
        <w:spacing w:line="400" w:lineRule="exact"/>
        <w:ind w:firstLine="600" w:firstLineChars="250"/>
        <w:rPr>
          <w:rFonts w:hint="eastAsia" w:ascii="宋体" w:hAnsi="宋体"/>
          <w:color w:val="auto"/>
          <w:sz w:val="24"/>
        </w:rPr>
      </w:pPr>
      <w:r>
        <w:rPr>
          <w:rFonts w:hint="eastAsia" w:ascii="宋体" w:hAnsi="宋体"/>
          <w:color w:val="auto"/>
          <w:sz w:val="24"/>
        </w:rPr>
        <w:t>2．询价流程</w:t>
      </w:r>
    </w:p>
    <w:p>
      <w:pPr>
        <w:spacing w:line="400" w:lineRule="exact"/>
        <w:ind w:firstLine="600" w:firstLineChars="250"/>
        <w:rPr>
          <w:rFonts w:hint="eastAsia" w:ascii="宋体" w:hAnsi="宋体"/>
          <w:color w:val="auto"/>
          <w:sz w:val="24"/>
        </w:rPr>
      </w:pPr>
      <w:r>
        <w:rPr>
          <w:rFonts w:hint="eastAsia" w:ascii="宋体" w:hAnsi="宋体"/>
          <w:color w:val="auto"/>
          <w:sz w:val="24"/>
        </w:rPr>
        <w:t>（1）制定询价文件。学校根据需求、调研、论证编制询价文件，询价文件中应详细说明项目内容或物资品种、数量、材质、报价时间和地点、报价商资质要求、技术指标参数等相关内容。</w:t>
      </w:r>
    </w:p>
    <w:p>
      <w:pPr>
        <w:spacing w:line="400" w:lineRule="exact"/>
        <w:ind w:firstLine="600" w:firstLineChars="250"/>
        <w:rPr>
          <w:rFonts w:hint="eastAsia" w:ascii="宋体" w:hAnsi="宋体"/>
          <w:b/>
          <w:color w:val="auto"/>
          <w:sz w:val="24"/>
        </w:rPr>
      </w:pPr>
      <w:r>
        <w:rPr>
          <w:rFonts w:hint="eastAsia" w:ascii="宋体" w:hAnsi="宋体"/>
          <w:color w:val="auto"/>
          <w:sz w:val="24"/>
        </w:rPr>
        <w:t>（2）发布询价公告。询价事宜应在学校网站发布，</w:t>
      </w:r>
      <w:r>
        <w:rPr>
          <w:rFonts w:hint="eastAsia" w:ascii="宋体" w:hAnsi="宋体"/>
          <w:b/>
          <w:color w:val="auto"/>
          <w:sz w:val="24"/>
        </w:rPr>
        <w:t>公告时间不少于5天。</w:t>
      </w:r>
    </w:p>
    <w:p>
      <w:pPr>
        <w:spacing w:line="400" w:lineRule="exact"/>
        <w:ind w:firstLine="600" w:firstLineChars="250"/>
        <w:rPr>
          <w:rFonts w:hint="eastAsia" w:ascii="宋体" w:hAnsi="宋体"/>
          <w:color w:val="auto"/>
          <w:sz w:val="24"/>
        </w:rPr>
      </w:pPr>
      <w:r>
        <w:rPr>
          <w:rFonts w:hint="eastAsia" w:ascii="宋体" w:hAnsi="宋体"/>
          <w:color w:val="auto"/>
          <w:sz w:val="24"/>
        </w:rPr>
        <w:t>（3）确定采购预算价。领导小组应在收到报价材料后召开领导组会议，采用合理办法确定采购预算价。参照同类型物品、设备最近招投标的中标价格，根据市场上该类物品、设备近阶段价格变化的实际情况，确定合理预算价。无异议后，领导小组成员及相关人员应在会议记录表上签字确认。学校应完整记录询价过程及询价结果并存档备查。</w:t>
      </w:r>
    </w:p>
    <w:p>
      <w:pPr>
        <w:spacing w:line="400" w:lineRule="exact"/>
        <w:ind w:firstLine="600" w:firstLineChars="250"/>
        <w:rPr>
          <w:rFonts w:hint="eastAsia" w:ascii="宋体" w:hAnsi="宋体"/>
          <w:color w:val="auto"/>
          <w:sz w:val="24"/>
        </w:rPr>
      </w:pPr>
      <w:r>
        <w:rPr>
          <w:rFonts w:hint="eastAsia" w:ascii="宋体" w:hAnsi="宋体"/>
          <w:color w:val="auto"/>
          <w:sz w:val="24"/>
        </w:rPr>
        <w:t>（4）询价结果公示。</w:t>
      </w:r>
      <w:r>
        <w:rPr>
          <w:rFonts w:hint="eastAsia" w:ascii="宋体" w:hAnsi="宋体"/>
          <w:b/>
          <w:color w:val="auto"/>
          <w:sz w:val="24"/>
        </w:rPr>
        <w:t>学校应当自询价结果确定之日起2个工作日内，将询价情况在学校网站上公示</w:t>
      </w:r>
      <w:r>
        <w:rPr>
          <w:rFonts w:hint="eastAsia" w:ascii="宋体" w:hAnsi="宋体"/>
          <w:color w:val="auto"/>
          <w:sz w:val="24"/>
        </w:rPr>
        <w:t>，</w:t>
      </w:r>
      <w:r>
        <w:rPr>
          <w:rFonts w:hint="eastAsia" w:ascii="宋体" w:hAnsi="宋体"/>
          <w:b/>
          <w:color w:val="auto"/>
          <w:sz w:val="24"/>
        </w:rPr>
        <w:t>公示时间不少于5天。</w:t>
      </w:r>
    </w:p>
    <w:p>
      <w:pPr>
        <w:spacing w:line="400" w:lineRule="exact"/>
        <w:ind w:firstLine="600" w:firstLineChars="250"/>
        <w:rPr>
          <w:rFonts w:hint="eastAsia" w:ascii="宋体" w:hAnsi="宋体"/>
          <w:color w:val="auto"/>
          <w:sz w:val="24"/>
        </w:rPr>
      </w:pPr>
      <w:r>
        <w:rPr>
          <w:rFonts w:hint="eastAsia" w:ascii="宋体" w:hAnsi="宋体"/>
          <w:color w:val="auto"/>
          <w:sz w:val="24"/>
        </w:rPr>
        <w:t>3．询价要求</w:t>
      </w:r>
    </w:p>
    <w:p>
      <w:pPr>
        <w:spacing w:line="400" w:lineRule="exact"/>
        <w:ind w:firstLine="600" w:firstLineChars="250"/>
        <w:rPr>
          <w:rFonts w:hint="eastAsia" w:ascii="宋体" w:hAnsi="宋体"/>
          <w:color w:val="auto"/>
          <w:sz w:val="24"/>
        </w:rPr>
      </w:pPr>
      <w:r>
        <w:rPr>
          <w:rFonts w:hint="eastAsia" w:ascii="宋体" w:hAnsi="宋体"/>
          <w:color w:val="auto"/>
          <w:sz w:val="24"/>
        </w:rPr>
        <w:t>项目询价单位应不少于3家。</w:t>
      </w:r>
    </w:p>
    <w:p>
      <w:pPr>
        <w:spacing w:line="400" w:lineRule="exact"/>
        <w:ind w:firstLine="600" w:firstLineChars="250"/>
        <w:rPr>
          <w:rFonts w:hint="eastAsia" w:ascii="宋体" w:hAnsi="宋体"/>
          <w:color w:val="auto"/>
          <w:sz w:val="24"/>
        </w:rPr>
      </w:pPr>
      <w:r>
        <w:rPr>
          <w:rFonts w:hint="eastAsia" w:ascii="宋体" w:hAnsi="宋体"/>
          <w:color w:val="auto"/>
          <w:sz w:val="24"/>
        </w:rPr>
        <w:t>4、管理与监督</w:t>
      </w:r>
    </w:p>
    <w:p>
      <w:pPr>
        <w:spacing w:line="400" w:lineRule="exact"/>
        <w:ind w:firstLine="600" w:firstLineChars="250"/>
        <w:rPr>
          <w:rFonts w:hint="eastAsia" w:ascii="宋体" w:hAnsi="宋体"/>
          <w:color w:val="auto"/>
          <w:sz w:val="24"/>
        </w:rPr>
      </w:pPr>
      <w:r>
        <w:rPr>
          <w:rFonts w:hint="eastAsia" w:ascii="宋体" w:hAnsi="宋体"/>
          <w:color w:val="auto"/>
          <w:sz w:val="24"/>
        </w:rPr>
        <w:t>（一）学校应将询价工作概况、询价结果等情况按有关要求在学校网站予以公示，公示时间不少于5天。</w:t>
      </w:r>
    </w:p>
    <w:p>
      <w:pPr>
        <w:spacing w:line="400" w:lineRule="exact"/>
        <w:ind w:firstLine="600" w:firstLineChars="250"/>
        <w:rPr>
          <w:rFonts w:hint="eastAsia" w:ascii="宋体" w:hAnsi="宋体"/>
          <w:color w:val="auto"/>
          <w:sz w:val="24"/>
        </w:rPr>
      </w:pPr>
      <w:r>
        <w:rPr>
          <w:rFonts w:hint="eastAsia" w:ascii="宋体" w:hAnsi="宋体"/>
          <w:color w:val="auto"/>
          <w:sz w:val="24"/>
        </w:rPr>
        <w:t>（二）学校大宗物资采购询价工作接受各部门、学校师生及社会各界群众监督，严禁不按采购询价程序询价，严禁暗箱操作，对发现的问题可向学校反映。</w:t>
      </w:r>
    </w:p>
    <w:bookmarkEnd w:id="7"/>
    <w:p>
      <w:pPr>
        <w:rPr>
          <w:color w:val="auto"/>
        </w:rPr>
      </w:pPr>
    </w:p>
    <w:sectPr>
      <w:pgSz w:w="11906" w:h="16838"/>
      <w:pgMar w:top="1304" w:right="1417" w:bottom="130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1MDZiZGEzNWM4OTk4ZTU1YWYyNDllMzc0MWI3ZjcifQ=="/>
  </w:docVars>
  <w:rsids>
    <w:rsidRoot w:val="28FE5067"/>
    <w:rsid w:val="1E462951"/>
    <w:rsid w:val="1EAC5942"/>
    <w:rsid w:val="225C2D50"/>
    <w:rsid w:val="25420BEB"/>
    <w:rsid w:val="28FE5067"/>
    <w:rsid w:val="2F8F1814"/>
    <w:rsid w:val="43BA39E5"/>
    <w:rsid w:val="536C2239"/>
    <w:rsid w:val="5A153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rFonts w:eastAsia="黑体"/>
      <w:b/>
      <w:bCs/>
      <w:kern w:val="44"/>
      <w:sz w:val="32"/>
      <w:szCs w:val="44"/>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2024-01-16T01:54:00Z</dcterms:created>
  <dc:creator>lenovo</dc:creator>
  <cp:lastModifiedBy>lenovo</cp:lastModifiedBy>
  <dcterms:modified xsi:type="dcterms:W3CDTF">2024-01-16T02:18:45Z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411F935E1930468DAA7A5A5FD4949FD3_11</vt:lpwstr>
  </property>
</Properties>
</file>